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7tjm0m1qd55" w:id="0"/>
      <w:bookmarkEnd w:id="0"/>
      <w:r w:rsidDel="00000000" w:rsidR="00000000" w:rsidRPr="00000000">
        <w:rPr>
          <w:rFonts w:ascii="Arial Unicode MS" w:cs="Arial Unicode MS" w:eastAsia="Arial Unicode MS" w:hAnsi="Arial Unicode MS"/>
          <w:rtl w:val="0"/>
        </w:rPr>
        <w:t xml:space="preserve">【AWS金融ソリューション】次世代親子資産継承型AIプラットフォーム『Generative Wealth Bridge』事業開発・製品仕様書 (改訂第4版・日米全口座区分対応・ミニマムタックス・損益通算・米国ウォッシュセール完全準拠)</w:t>
      </w:r>
    </w:p>
    <w:p w:rsidR="00000000" w:rsidDel="00000000" w:rsidP="00000000" w:rsidRDefault="00000000" w:rsidRPr="00000000" w14:paraId="00000002">
      <w:pPr>
        <w:rPr/>
      </w:pPr>
      <w:r w:rsidDel="00000000" w:rsidR="00000000" w:rsidRPr="00000000">
        <w:rPr>
          <w:rFonts w:ascii="Arial Unicode MS" w:cs="Arial Unicode MS" w:eastAsia="Arial Unicode MS" w:hAnsi="Arial Unicode MS"/>
          <w:rtl w:val="0"/>
        </w:rPr>
        <w:t xml:space="preserve">管轄: ビジネス開発部 (BizDev) / システムアーキテクチャ部門</w:t>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ステータス: 税制バリデーション・リーガルゲートウェイ・日本全口座区分制御・ミニマムタックス対策・損益通算/繰越控除・為替差益自動管理・米国ウォッシュセール制御モジュール実装完了 (外部引き渡し可能状態)</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2026 Hypatia. All rights reserved. </w:t>
      </w:r>
    </w:p>
    <w:p w:rsidR="00000000" w:rsidDel="00000000" w:rsidP="00000000" w:rsidRDefault="00000000" w:rsidRPr="00000000" w14:paraId="00000006">
      <w:pPr>
        <w:rPr/>
      </w:pPr>
      <w:r w:rsidDel="00000000" w:rsidR="00000000" w:rsidRPr="00000000">
        <w:rPr>
          <w:rtl w:val="0"/>
        </w:rPr>
        <w:t xml:space="preserve">This document is provided for evaluation and architectural discussion purposes only. Unauthorized commercial use, reproduction, or distribution is strictly prohibited.</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rPr/>
      </w:pPr>
      <w:bookmarkStart w:colFirst="0" w:colLast="0" w:name="_hygra2b96tbs" w:id="1"/>
      <w:bookmarkEnd w:id="1"/>
      <w:r w:rsidDel="00000000" w:rsidR="00000000" w:rsidRPr="00000000">
        <w:rPr>
          <w:rFonts w:ascii="Arial Unicode MS" w:cs="Arial Unicode MS" w:eastAsia="Arial Unicode MS" w:hAnsi="Arial Unicode MS"/>
          <w:rtl w:val="0"/>
        </w:rPr>
        <w:t xml:space="preserve">SECTION 0: グローバル・ロードマップ&amp;初動ターゲティング戦略</w:t>
      </w:r>
    </w:p>
    <w:p w:rsidR="00000000" w:rsidDel="00000000" w:rsidP="00000000" w:rsidRDefault="00000000" w:rsidRPr="00000000" w14:paraId="0000000A">
      <w:pPr>
        <w:rPr/>
      </w:pPr>
      <w:r w:rsidDel="00000000" w:rsidR="00000000" w:rsidRPr="00000000">
        <w:rPr>
          <w:rFonts w:ascii="Arial Unicode MS" w:cs="Arial Unicode MS" w:eastAsia="Arial Unicode MS" w:hAnsi="Arial Unicode MS"/>
          <w:rtl w:val="0"/>
        </w:rPr>
        <w:t xml:space="preserve">本プロジェクトは、システムとしての「グローバルな信頼性」の獲得と「実効スピード」を最優先し、米国のAmazon法人営業リソースを主軸とした【米国市場からのトップダウンアプローチ】を採用する。その後、実績をパッケージ化して日本市場(ネット証券・金融庁) へローカライズ展開する。</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3"/>
        <w:rPr/>
      </w:pPr>
      <w:bookmarkStart w:colFirst="0" w:colLast="0" w:name="_zryn362bop" w:id="2"/>
      <w:bookmarkEnd w:id="2"/>
      <w:r w:rsidDel="00000000" w:rsidR="00000000" w:rsidRPr="00000000">
        <w:rPr>
          <w:rFonts w:ascii="Arial Unicode MS" w:cs="Arial Unicode MS" w:eastAsia="Arial Unicode MS" w:hAnsi="Arial Unicode MS"/>
          <w:rtl w:val="0"/>
        </w:rPr>
        <w:t xml:space="preserve">1. ターゲット選定根拠 (なぜ米国スタートなのか)</w:t>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  ・ 潜在的ユーザー課題 (US市場の構造的課題): 若年層の金融リテラシー不足による過度な債務 (BNPLの破綻、投機的アプリでの損失)が社会問題化している。そのため、親世代の「子供に正しい自立 (Independence) とクレジット教育を与えたい」という動機が極めて強い。</w:t>
      </w:r>
    </w:p>
    <w:p w:rsidR="00000000" w:rsidDel="00000000" w:rsidP="00000000" w:rsidRDefault="00000000" w:rsidRPr="00000000" w14:paraId="0000000E">
      <w:pPr>
        <w:rPr/>
      </w:pPr>
      <w:r w:rsidDel="00000000" w:rsidR="00000000" w:rsidRPr="00000000">
        <w:rPr>
          <w:rFonts w:ascii="Arial Unicode MS" w:cs="Arial Unicode MS" w:eastAsia="Arial Unicode MS" w:hAnsi="Arial Unicode MS"/>
          <w:rtl w:val="0"/>
        </w:rPr>
        <w:t xml:space="preserve">  ・ 実績としての信頼性確保: 米国のリテールメガバンク (JPMorgan Chase, Bank of America等)、または新興デジタル証券 (Robinhood等) への一括導入実績を作る。これにより、世界最高峰のセキュリティとコンプライアンスを満たした「世界標準(デファクトスタンダード)」としてのブランドを確立する。</w:t>
      </w:r>
    </w:p>
    <w:p w:rsidR="00000000" w:rsidDel="00000000" w:rsidP="00000000" w:rsidRDefault="00000000" w:rsidRPr="00000000" w14:paraId="0000000F">
      <w:pPr>
        <w:rPr/>
      </w:pPr>
      <w:r w:rsidDel="00000000" w:rsidR="00000000" w:rsidRPr="00000000">
        <w:rPr>
          <w:rFonts w:ascii="Arial Unicode MS" w:cs="Arial Unicode MS" w:eastAsia="Arial Unicode MS" w:hAnsi="Arial Unicode MS"/>
          <w:rtl w:val="0"/>
        </w:rPr>
        <w:t xml:space="preserve">  ・ 営業リソースの最適化: US本社のAWS法人営業部門が持つ「インフラ契約とAIソリューションを統合して経営陣に提案する」 B2B営業プロトコルの速度を活用し、最速でのパートナーシップ成立を狙う。 AIの法規制や技術トレンドの動きが最も早いアメリカ市場で、最初に堅牢性と安全性を証明し、そこからグローバルへ横展開を目指す。</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rPr/>
      </w:pPr>
      <w:bookmarkStart w:colFirst="0" w:colLast="0" w:name="_lxh6id14pmef" w:id="3"/>
      <w:bookmarkEnd w:id="3"/>
      <w:r w:rsidDel="00000000" w:rsidR="00000000" w:rsidRPr="00000000">
        <w:rPr>
          <w:rFonts w:ascii="Arial Unicode MS" w:cs="Arial Unicode MS" w:eastAsia="Arial Unicode MS" w:hAnsi="Arial Unicode MS"/>
          <w:rtl w:val="0"/>
        </w:rPr>
        <w:t xml:space="preserve">2. ロードマップ・フェーズ</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【Phase 1: 米国市場 (USモデル)】</w:t>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ターゲット: 米メガバンク / Robinhood x SEC FINRA規制対応</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目的: 構造的課題の解決、世界基準の信頼性獲得、US営業による高速デプロイ (グローバル実績の逆輸入)、ウォッシュセール規定（Tax・Loss Harvesting）制御の確立</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【Phase 2: 日本市場 (ローカライズモデル)】</w:t>
      </w:r>
    </w:p>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ターゲット: SBI・楽天証券 金融庁 メガバンク (信託・リテール)</w:t>
      </w:r>
    </w:p>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目的: 日本固有の「一般・特定・新NISA・こどもNISA全口座区分対応・ミニマムタックス対策・損益通算/繰越控除・暦年贈与枠・為替差益課税」へのアジャスト、規制当局の基準に準拠した展開</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rPr/>
      </w:pPr>
      <w:bookmarkStart w:colFirst="0" w:colLast="0" w:name="_didyj65al3uh" w:id="4"/>
      <w:bookmarkEnd w:id="4"/>
      <w:r w:rsidDel="00000000" w:rsidR="00000000" w:rsidRPr="00000000">
        <w:rPr>
          <w:rFonts w:ascii="Arial Unicode MS" w:cs="Arial Unicode MS" w:eastAsia="Arial Unicode MS" w:hAnsi="Arial Unicode MS"/>
          <w:rtl w:val="0"/>
        </w:rPr>
        <w:t xml:space="preserve">SECTION 1: グランドデザイン &amp; 共通コア・ロジック</w:t>
      </w:r>
    </w:p>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本システムの基本設計思想は、コンプライアンス(法務・税務・レギュラトリーリスク)の分離と、人間の行動原理(インセンティブ)の最適ルーティングである。</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3"/>
        <w:rPr/>
      </w:pPr>
      <w:bookmarkStart w:colFirst="0" w:colLast="0" w:name="_fbkxhleh5ek6" w:id="5"/>
      <w:bookmarkEnd w:id="5"/>
      <w:r w:rsidDel="00000000" w:rsidR="00000000" w:rsidRPr="00000000">
        <w:rPr>
          <w:rFonts w:ascii="Arial Unicode MS" w:cs="Arial Unicode MS" w:eastAsia="Arial Unicode MS" w:hAnsi="Arial Unicode MS"/>
          <w:rtl w:val="0"/>
        </w:rPr>
        <w:t xml:space="preserve">1. 共通コア・アルゴリズム (OSレイヤー)</w:t>
      </w:r>
    </w:p>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  ・ 入力層(子供・外部環境): 抽象的な投資データは一切排除する。日々の「お小遣い」のトレードオフ(流動性と機会損失の選択ログ)のみを定性入力として受け付ける。また、外部のレギュラトリー・データソース（適時開示、官報、規制当局の発信情報、税務判例、税制改正大綱等）をリアルタイムにクローリングするインプットパイプを配備する。</w:t>
      </w:r>
    </w:p>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  ・ 変換層(AI): 「逆張り」等のエラー(初心者向けのハイリスク行動)をハードコードで排除する。子供のマイクロな生活ログから「選択の揺らぎ・堅実性」を解析し、親への実行シグナルへと1ウェイでルーティングする。同時に、外部データから「経済制裁」「業務停止命令」「上場廃止」「税制改正（ミニマムタックス等）」のリスク因子を検知・プロファイリングする。</w:t>
      </w:r>
    </w:p>
    <w:p w:rsidR="00000000" w:rsidDel="00000000" w:rsidP="00000000" w:rsidRDefault="00000000" w:rsidRPr="00000000" w14:paraId="0000001F">
      <w:pPr>
        <w:rPr/>
      </w:pPr>
      <w:r w:rsidDel="00000000" w:rsidR="00000000" w:rsidRPr="00000000">
        <w:rPr>
          <w:rFonts w:ascii="Arial Unicode MS" w:cs="Arial Unicode MS" w:eastAsia="Arial Unicode MS" w:hAnsi="Arial Unicode MS"/>
          <w:rtl w:val="0"/>
        </w:rPr>
        <w:t xml:space="preserve">  ・ 出力層(親・管理者): 親コンソールには「我が子の選択傾向から見る将来の資産形成シミュレーション」を出力し、テーマは常に「安全な次世代への資産・リテラシーのブリッジ」に固定する。リスクを検知した場合は、親へのシミュレーション表示を変調させるとともに、金融機関の管理者コンソールヘアラートを出力する。</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3"/>
        <w:rPr/>
      </w:pPr>
      <w:bookmarkStart w:colFirst="0" w:colLast="0" w:name="_749qv54hndxa" w:id="6"/>
      <w:bookmarkEnd w:id="6"/>
      <w:r w:rsidDel="00000000" w:rsidR="00000000" w:rsidRPr="00000000">
        <w:rPr>
          <w:rFonts w:ascii="Arial Unicode MS" w:cs="Arial Unicode MS" w:eastAsia="Arial Unicode MS" w:hAnsi="Arial Unicode MS"/>
          <w:rtl w:val="0"/>
        </w:rPr>
        <w:t xml:space="preserve">2. リーガル&amp;タックス・ゲートウェイ (コンプライアンスのカプセル化)</w:t>
      </w:r>
    </w:p>
    <w:p w:rsidR="00000000" w:rsidDel="00000000" w:rsidP="00000000" w:rsidRDefault="00000000" w:rsidRPr="00000000" w14:paraId="00000022">
      <w:pPr>
        <w:rPr/>
      </w:pPr>
      <w:r w:rsidDel="00000000" w:rsidR="00000000" w:rsidRPr="00000000">
        <w:rPr>
          <w:rFonts w:ascii="Arial Unicode MS" w:cs="Arial Unicode MS" w:eastAsia="Arial Unicode MS" w:hAnsi="Arial Unicode MS"/>
          <w:rtl w:val="0"/>
        </w:rPr>
        <w:t xml:space="preserve">  ・ 投資助言リスクの排除: 金融商品取引法や投資助言(米国SEC/FINRA規制)の法的責任は、フロントに立つ金融機関の免責・コンプライアンスレイヤーに完全に準拠させる。AIのアウトプット層に「特定個別銘柄の推奨」等を吐き出させない物理的なハード・ガードレールを実装する。</w:t>
      </w:r>
    </w:p>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  ・ 日本型全口座区分（一般・特定・新NISA・こどもNISA）別・自動制御モジュール: </w:t>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rtl w:val="0"/>
        </w:rPr>
        <w:t xml:space="preserve">    ・ 新NISA（つみたて投資枠・成長投資枠）: 年間非課税枠（120万円/240万円）および生涯非課税保有限度額（1,800万円）の消化状況をミリ秒単位で追跡し、枠超過リスク前に成長投資枠への動線最適化や特定口座への自動振替シミュレーションを実施。</w:t>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rtl w:val="0"/>
        </w:rPr>
        <w:t xml:space="preserve">    ・ 特定口座（源泉徴収あり/なし）＆一般口座: 確定申告の要否を自動判定。源泉徴収あり口座での税金自動徴収の可視化、源泉なし・一般口座における確定申告必要額の事前通知を行う。</w:t>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    ・ こどもNISA（旧ジュニアNISA含む受入管理）: 払出制限や成人（18歳）到達時の自動口座移管・権限シフト動線とシームレスに連携。</w:t>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 金融所得ミニマムタックス（最低30%課税強化）対策シミュレーター: 超高所得層を対象とする金融所得・総合所得に対する最低負担率（ミニマムタックス）の導入・法改正動向を監視。単年度の過度な利益確定を回避し、年を跨いだ利益実現の平準化、NISA枠の最大活用、生前贈与枠（年間110万円）への分散ルーティングにより、実効税率上昇を抑える税務最適化シミュレーションを提示。</w:t>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rtl w:val="0"/>
        </w:rPr>
        <w:t xml:space="preserve">  ・ 米株ウォッシュセール（Wash・Sale Rule）自動検知・責任分解モジュール: 損失確定を伴う売却が行われた際、前後30日間（計61日間）の同一・同種銘柄の売買ログを追跡。30日以内の再買い戻しによる「損失控除の否認リスク」を自動回避・プロテクトする。</w:t>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 為替差益自動トラッキング＆雑所得検知モジュール: 外貨建て資産（米株・外貨NISA等）の売却・乗り換え時に生じる為替差益（雑所得）を自動算定し、確定申告ライン（20万円）到達前のアラートを発出。</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rPr/>
        <w:sectPr>
          <w:pgSz w:h="16834" w:w="11909" w:orient="portrait"/>
          <w:pgMar w:bottom="1440" w:top="1440" w:left="1440" w:right="1440" w:header="720" w:footer="720"/>
          <w:pgNumType w:start="1"/>
        </w:sectPr>
      </w:pPr>
      <w:bookmarkStart w:colFirst="0" w:colLast="0" w:name="_9cvs7ljc9wyh" w:id="7"/>
      <w:bookmarkEnd w:id="7"/>
      <w:r w:rsidDel="00000000" w:rsidR="00000000" w:rsidRPr="00000000">
        <w:rPr>
          <w:rtl w:val="0"/>
        </w:rPr>
      </w:r>
    </w:p>
    <w:p w:rsidR="00000000" w:rsidDel="00000000" w:rsidP="00000000" w:rsidRDefault="00000000" w:rsidRPr="00000000" w14:paraId="0000002C">
      <w:pPr>
        <w:pStyle w:val="Heading2"/>
        <w:rPr/>
      </w:pPr>
      <w:bookmarkStart w:colFirst="0" w:colLast="0" w:name="_p62gi18rgm31" w:id="8"/>
      <w:bookmarkEnd w:id="8"/>
      <w:r w:rsidDel="00000000" w:rsidR="00000000" w:rsidRPr="00000000">
        <w:rPr>
          <w:rFonts w:ascii="Arial Unicode MS" w:cs="Arial Unicode MS" w:eastAsia="Arial Unicode MS" w:hAnsi="Arial Unicode MS"/>
          <w:rtl w:val="0"/>
        </w:rPr>
        <w:t xml:space="preserve">SECTION 2: 【Phase 1】 イベント用フロントエンド・モジュール (初期エンゲージメント仕様)</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バーストトラフィックを想定した短期集中型のシステム。常設基幹システム(SECTION 3) へ顧客の関心とログを「リレー」するためのフロントドアである。</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3"/>
        <w:rPr/>
      </w:pPr>
      <w:bookmarkStart w:colFirst="0" w:colLast="0" w:name="_9o8vofsjt6ar" w:id="9"/>
      <w:bookmarkEnd w:id="9"/>
      <w:r w:rsidDel="00000000" w:rsidR="00000000" w:rsidRPr="00000000">
        <w:rPr>
          <w:rFonts w:ascii="Arial Unicode MS" w:cs="Arial Unicode MS" w:eastAsia="Arial Unicode MS" w:hAnsi="Arial Unicode MS"/>
          <w:rtl w:val="0"/>
        </w:rPr>
        <w:t xml:space="preserve">1. デプロイ要件 (配信レイヤーの分岐)</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  ・ オンラインイベント仕様: キャパシティ制限を排除し、口座開設トランザクション数を最大化。</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  ・ リアルイベント仕様: インセンティブでエンゲージメントの高いコア顧客を獲得。</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3"/>
        <w:rPr/>
      </w:pPr>
      <w:bookmarkStart w:colFirst="0" w:colLast="0" w:name="_p4bed5p3igtq" w:id="10"/>
      <w:bookmarkEnd w:id="10"/>
      <w:r w:rsidDel="00000000" w:rsidR="00000000" w:rsidRPr="00000000">
        <w:rPr>
          <w:rFonts w:ascii="Arial Unicode MS" w:cs="Arial Unicode MS" w:eastAsia="Arial Unicode MS" w:hAnsi="Arial Unicode MS"/>
          <w:rtl w:val="0"/>
        </w:rPr>
        <w:t xml:space="preserve">2. イベント専用アドオン・モジュール</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 【時間軸の圧縮】 お小遣いタイムトラベル・シミュレータ: その場の消費選択を、将来の資産形成差へとグラフィカルに変換。</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 【親子の同期】 リアルタイム「価値観のギャップ」可視化: 子供の選択と親の予想のズレを解析し、口座開設の必要性をアピール。</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  ・ 【出口の直結】 即時口座バリデーション: 日本の各口座区分（新NISA枠等）や税務初期設定を引き継いだまま新規口座開設フォームへリダイレクト。</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sectPr>
          <w:type w:val="nextPage"/>
          <w:pgSz w:h="16834" w:w="11909" w:orient="portrait"/>
          <w:pgMar w:bottom="1440" w:top="1440" w:left="1440" w:right="1440" w:header="720" w:footer="720"/>
        </w:sectPr>
      </w:pPr>
      <w:bookmarkStart w:colFirst="0" w:colLast="0" w:name="_us7x9oqidmg1" w:id="11"/>
      <w:bookmarkEnd w:id="11"/>
      <w:r w:rsidDel="00000000" w:rsidR="00000000" w:rsidRPr="00000000">
        <w:rPr>
          <w:rtl w:val="0"/>
        </w:rPr>
      </w:r>
    </w:p>
    <w:p w:rsidR="00000000" w:rsidDel="00000000" w:rsidP="00000000" w:rsidRDefault="00000000" w:rsidRPr="00000000" w14:paraId="0000003A">
      <w:pPr>
        <w:pStyle w:val="Heading2"/>
        <w:rPr/>
      </w:pPr>
      <w:bookmarkStart w:colFirst="0" w:colLast="0" w:name="_ypjkj5ifp7qt" w:id="12"/>
      <w:bookmarkEnd w:id="12"/>
      <w:r w:rsidDel="00000000" w:rsidR="00000000" w:rsidRPr="00000000">
        <w:rPr>
          <w:rFonts w:ascii="Arial Unicode MS" w:cs="Arial Unicode MS" w:eastAsia="Arial Unicode MS" w:hAnsi="Arial Unicode MS"/>
          <w:rtl w:val="0"/>
        </w:rPr>
        <w:t xml:space="preserve">SECTION 3: 【Phase 2】 基幹組込みシステム・モジュール (本命インフラ)</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3"/>
        <w:rPr/>
      </w:pPr>
      <w:bookmarkStart w:colFirst="0" w:colLast="0" w:name="_lgzaqhx2a0iw" w:id="13"/>
      <w:bookmarkEnd w:id="13"/>
      <w:r w:rsidDel="00000000" w:rsidR="00000000" w:rsidRPr="00000000">
        <w:rPr>
          <w:rFonts w:ascii="Arial Unicode MS" w:cs="Arial Unicode MS" w:eastAsia="Arial Unicode MS" w:hAnsi="Arial Unicode MS"/>
          <w:rtl w:val="0"/>
        </w:rPr>
        <w:t xml:space="preserve">1. コールドスタート &amp; 段階的UI/UXチューニング</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 初期フェーズ (Day 1): 顧客属性と基本テンプレートでUI/UXを仮設定しスモールスタート。</w:t>
      </w:r>
    </w:p>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  ・ 調整フェーズ: 利用ログに基づきUI/UXパラメータを最適化。</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kflk8d1ad37r" w:id="14"/>
      <w:bookmarkEnd w:id="14"/>
      <w:r w:rsidDel="00000000" w:rsidR="00000000" w:rsidRPr="00000000">
        <w:rPr>
          <w:rFonts w:ascii="Arial Unicode MS" w:cs="Arial Unicode MS" w:eastAsia="Arial Unicode MS" w:hAnsi="Arial Unicode MS"/>
          <w:rtl w:val="0"/>
        </w:rPr>
        <w:t xml:space="preserve">2. 子供向け: ライフステージ連動型権限移行 (パーミッション・ライフサイクル)</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 【ステップ1: サンドボックス環境】: 仮想空間でのシミュレーション。</w:t>
      </w:r>
    </w:p>
    <w:p w:rsidR="00000000" w:rsidDel="00000000" w:rsidP="00000000" w:rsidRDefault="00000000" w:rsidRPr="00000000" w14:paraId="00000042">
      <w:pPr>
        <w:rPr/>
      </w:pPr>
      <w:r w:rsidDel="00000000" w:rsidR="00000000" w:rsidRPr="00000000">
        <w:rPr>
          <w:rFonts w:ascii="Arial Unicode MS" w:cs="Arial Unicode MS" w:eastAsia="Arial Unicode MS" w:hAnsi="Arial Unicode MS"/>
          <w:rtl w:val="0"/>
        </w:rPr>
        <w:t xml:space="preserve">  ・ 【ステップ2: 少額取引申請・保護者承認ゲート】: 単元未満株等の注文時に親へ承認リクエストを送付。</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  ・ 【ステップ3: 権限完全移行とUI/UXの最適化】: 成人時に管理権限を完全移行。こどもNISAから新NISA・特定口座等へのスムーズな資産移管を自動アシスト。</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3"/>
        <w:rPr/>
      </w:pPr>
      <w:bookmarkStart w:colFirst="0" w:colLast="0" w:name="_rl8642ecjfxc" w:id="15"/>
      <w:bookmarkEnd w:id="15"/>
      <w:r w:rsidDel="00000000" w:rsidR="00000000" w:rsidRPr="00000000">
        <w:rPr>
          <w:rFonts w:ascii="Arial Unicode MS" w:cs="Arial Unicode MS" w:eastAsia="Arial Unicode MS" w:hAnsi="Arial Unicode MS"/>
          <w:rtl w:val="0"/>
        </w:rPr>
        <w:t xml:space="preserve">3. マルチ税制・損益通算＆ Tax・Loss Harvesting 計算エンジン</w:t>
      </w:r>
    </w:p>
    <w:p w:rsidR="00000000" w:rsidDel="00000000" w:rsidP="00000000" w:rsidRDefault="00000000" w:rsidRPr="00000000" w14:paraId="00000046">
      <w:pPr>
        <w:rPr/>
      </w:pPr>
      <w:r w:rsidDel="00000000" w:rsidR="00000000" w:rsidRPr="00000000">
        <w:rPr>
          <w:rFonts w:ascii="Arial Unicode MS" w:cs="Arial Unicode MS" w:eastAsia="Arial Unicode MS" w:hAnsi="Arial Unicode MS"/>
          <w:rtl w:val="0"/>
        </w:rPr>
        <w:t xml:space="preserve">  ・ 日本市場向け 損益通算＆3年繰越控除最適化エンジン: </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 複数口座（特定口座源泉あり/なし、一般口座）や複数証券会社を跨ぐ損益を合算試算。</w:t>
      </w:r>
    </w:p>
    <w:p w:rsidR="00000000" w:rsidDel="00000000" w:rsidP="00000000" w:rsidRDefault="00000000" w:rsidRPr="00000000" w14:paraId="00000048">
      <w:pPr>
        <w:rPr/>
      </w:pPr>
      <w:r w:rsidDel="00000000" w:rsidR="00000000" w:rsidRPr="00000000">
        <w:rPr>
          <w:rFonts w:ascii="Arial Unicode MS" w:cs="Arial Unicode MS" w:eastAsia="Arial Unicode MS" w:hAnsi="Arial Unicode MS"/>
          <w:rtl w:val="0"/>
        </w:rPr>
        <w:t xml:space="preserve">    ・ 年間で生じた譲渡損失の「3年間の繰越控除」ログを自動トラッキング。翌年以降の含み益実現タイミングをAIが提示し、税負担の相殺（節税効果）を最大化。</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 確定申告に必要な「年間取引報告書統合データ（CSV/PDF）」をワンクリック出力。</w:t>
      </w:r>
    </w:p>
    <w:p w:rsidR="00000000" w:rsidDel="00000000" w:rsidP="00000000" w:rsidRDefault="00000000" w:rsidRPr="00000000" w14:paraId="0000004A">
      <w:pPr>
        <w:rPr/>
      </w:pPr>
      <w:r w:rsidDel="00000000" w:rsidR="00000000" w:rsidRPr="00000000">
        <w:rPr>
          <w:rFonts w:ascii="Arial Unicode MS" w:cs="Arial Unicode MS" w:eastAsia="Arial Unicode MS" w:hAnsi="Arial Unicode MS"/>
          <w:rtl w:val="0"/>
        </w:rPr>
        <w:t xml:space="preserve">  ・ 移動平均法・総平均法リアルタイム計算パイプライン: 外貨取得単価および資産の平均取得単価をミリ秒単位で更新維持。</w:t>
      </w:r>
    </w:p>
    <w:p w:rsidR="00000000" w:rsidDel="00000000" w:rsidP="00000000" w:rsidRDefault="00000000" w:rsidRPr="00000000" w14:paraId="0000004B">
      <w:pPr>
        <w:rPr/>
      </w:pPr>
      <w:r w:rsidDel="00000000" w:rsidR="00000000" w:rsidRPr="00000000">
        <w:rPr>
          <w:rFonts w:ascii="Arial Unicode MS" w:cs="Arial Unicode MS" w:eastAsia="Arial Unicode MS" w:hAnsi="Arial Unicode MS"/>
          <w:rtl w:val="0"/>
        </w:rPr>
        <w:t xml:space="preserve">  ・ Tax・Loss Harvesting（ウォッシュセール回避スイッチング）: 米国市場での損益通算効果を最大化する代替ETF提示。</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3"/>
        <w:rPr/>
      </w:pPr>
      <w:bookmarkStart w:colFirst="0" w:colLast="0" w:name="_662ht8mar895" w:id="16"/>
      <w:bookmarkEnd w:id="16"/>
      <w:r w:rsidDel="00000000" w:rsidR="00000000" w:rsidRPr="00000000">
        <w:rPr>
          <w:rFonts w:ascii="Arial Unicode MS" w:cs="Arial Unicode MS" w:eastAsia="Arial Unicode MS" w:hAnsi="Arial Unicode MS"/>
          <w:rtl w:val="0"/>
        </w:rPr>
        <w:t xml:space="preserve">4. 金融機関向け: レギュラトリー・ガバナンス・コンソール (セミオート制御仕様)</w:t>
      </w:r>
    </w:p>
    <w:p w:rsidR="00000000" w:rsidDel="00000000" w:rsidP="00000000" w:rsidRDefault="00000000" w:rsidRPr="00000000" w14:paraId="0000004E">
      <w:pPr>
        <w:rPr/>
      </w:pPr>
      <w:r w:rsidDel="00000000" w:rsidR="00000000" w:rsidRPr="00000000">
        <w:rPr>
          <w:rFonts w:ascii="Arial Unicode MS" w:cs="Arial Unicode MS" w:eastAsia="Arial Unicode MS" w:hAnsi="Arial Unicode MS"/>
          <w:rtl w:val="0"/>
        </w:rPr>
        <w:t xml:space="preserve">  ・ リスクコントロール・スイッチ: ミニマムタックス等の税制改正ルールやウォッシュセール判定基準等の閾値をON/OFF・可変制御。</w:t>
      </w:r>
    </w:p>
    <w:p w:rsidR="00000000" w:rsidDel="00000000" w:rsidP="00000000" w:rsidRDefault="00000000" w:rsidRPr="00000000" w14:paraId="0000004F">
      <w:pPr>
        <w:rPr/>
      </w:pPr>
      <w:r w:rsidDel="00000000" w:rsidR="00000000" w:rsidRPr="00000000">
        <w:rPr>
          <w:rFonts w:ascii="Arial Unicode MS" w:cs="Arial Unicode MS" w:eastAsia="Arial Unicode MS" w:hAnsi="Arial Unicode MS"/>
          <w:rtl w:val="0"/>
        </w:rPr>
        <w:t xml:space="preserve">  ・ 2レイヤー・ホールド・ワークフロー: AIが税務不整合や法改正リスクを検知した際、管理者の承認を経て各種注意事項・制限をフロントに反映。</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2"/>
        <w:rPr/>
        <w:sectPr>
          <w:type w:val="nextPage"/>
          <w:pgSz w:h="16834" w:w="11909" w:orient="portrait"/>
          <w:pgMar w:bottom="1440" w:top="1440" w:left="1440" w:right="1440" w:header="720" w:footer="720"/>
        </w:sectPr>
      </w:pPr>
      <w:bookmarkStart w:colFirst="0" w:colLast="0" w:name="_u7j3yg3p8o8t" w:id="17"/>
      <w:bookmarkEnd w:id="17"/>
      <w:r w:rsidDel="00000000" w:rsidR="00000000" w:rsidRPr="00000000">
        <w:rPr>
          <w:rtl w:val="0"/>
        </w:rPr>
      </w:r>
    </w:p>
    <w:p w:rsidR="00000000" w:rsidDel="00000000" w:rsidP="00000000" w:rsidRDefault="00000000" w:rsidRPr="00000000" w14:paraId="00000053">
      <w:pPr>
        <w:pStyle w:val="Heading2"/>
        <w:rPr/>
      </w:pPr>
      <w:bookmarkStart w:colFirst="0" w:colLast="0" w:name="_mofhvi7i27i5" w:id="18"/>
      <w:bookmarkEnd w:id="18"/>
      <w:r w:rsidDel="00000000" w:rsidR="00000000" w:rsidRPr="00000000">
        <w:rPr>
          <w:rFonts w:ascii="Arial Unicode MS" w:cs="Arial Unicode MS" w:eastAsia="Arial Unicode MS" w:hAnsi="Arial Unicode MS"/>
          <w:rtl w:val="0"/>
        </w:rPr>
        <w:t xml:space="preserve">SECTION 4: ターゲット別・国別最適化パッチ</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3"/>
        <w:rPr/>
      </w:pPr>
      <w:bookmarkStart w:colFirst="0" w:colLast="0" w:name="_ooqo8cvrrx45" w:id="19"/>
      <w:bookmarkEnd w:id="19"/>
      <w:r w:rsidDel="00000000" w:rsidR="00000000" w:rsidRPr="00000000">
        <w:rPr>
          <w:rFonts w:ascii="Arial Unicode MS" w:cs="Arial Unicode MS" w:eastAsia="Arial Unicode MS" w:hAnsi="Arial Unicode MS"/>
          <w:rtl w:val="0"/>
        </w:rPr>
        <w:t xml:space="preserve">1. 米国(US)市場向け最適化 (初動・最優先パターン)</w:t>
      </w:r>
    </w:p>
    <w:p w:rsidR="00000000" w:rsidDel="00000000" w:rsidP="00000000" w:rsidRDefault="00000000" w:rsidRPr="00000000" w14:paraId="00000056">
      <w:pPr>
        <w:rPr/>
      </w:pPr>
      <w:r w:rsidDel="00000000" w:rsidR="00000000" w:rsidRPr="00000000">
        <w:rPr>
          <w:rFonts w:ascii="Arial Unicode MS" w:cs="Arial Unicode MS" w:eastAsia="Arial Unicode MS" w:hAnsi="Arial Unicode MS"/>
          <w:rtl w:val="0"/>
        </w:rPr>
        <w:t xml:space="preserve">  ・ ウォッシュセール（30日ルール）対応およびSLAに基づく責任分解（プラットフォーム側の計算・代替案提示 / 金融機関側のホワイトリスト・注文遮断ポリシー設定）を徹底。</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3"/>
        <w:rPr/>
      </w:pPr>
      <w:bookmarkStart w:colFirst="0" w:colLast="0" w:name="_5no27tixhq90" w:id="20"/>
      <w:bookmarkEnd w:id="20"/>
      <w:r w:rsidDel="00000000" w:rsidR="00000000" w:rsidRPr="00000000">
        <w:rPr>
          <w:rFonts w:ascii="Arial Unicode MS" w:cs="Arial Unicode MS" w:eastAsia="Arial Unicode MS" w:hAnsi="Arial Unicode MS"/>
          <w:rtl w:val="0"/>
        </w:rPr>
        <w:t xml:space="preserve">2. 日本国内向けローカライズ (実績逆輸入パターン・顧客分析マニュアル)</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yr0kcoravh2o" w:id="21"/>
      <w:bookmarkEnd w:id="21"/>
      <w:r w:rsidDel="00000000" w:rsidR="00000000" w:rsidRPr="00000000">
        <w:rPr>
          <w:rFonts w:ascii="Arial Unicode MS" w:cs="Arial Unicode MS" w:eastAsia="Arial Unicode MS" w:hAnsi="Arial Unicode MS"/>
          <w:rtl w:val="0"/>
        </w:rPr>
        <w:t xml:space="preserve">　◎ 金融庁(FSA) へのアピール</w:t>
      </w:r>
    </w:p>
    <w:p w:rsidR="00000000" w:rsidDel="00000000" w:rsidP="00000000" w:rsidRDefault="00000000" w:rsidRPr="00000000" w14:paraId="0000005B">
      <w:pPr>
        <w:rPr/>
      </w:pPr>
      <w:r w:rsidDel="00000000" w:rsidR="00000000" w:rsidRPr="00000000">
        <w:rPr>
          <w:rFonts w:ascii="Arial Unicode MS" w:cs="Arial Unicode MS" w:eastAsia="Arial Unicode MS" w:hAnsi="Arial Unicode MS"/>
          <w:rtl w:val="0"/>
        </w:rPr>
        <w:t xml:space="preserve">  ・ 【提供価値】: 「新NISA（つみたて・成長枠）の正しい理解促進に加え、複雑化する金融所得の損益通算・繰越控除、さらに今後懸念されるミニマムタックス（最低30%課税等）などの税制変化に対応した中立的学習・シミュレーション環境を提供。国民の円滑な資産形成と適正申告を自動で両立・支援します」</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4"/>
        <w:rPr/>
      </w:pPr>
      <w:bookmarkStart w:colFirst="0" w:colLast="0" w:name="_157gfh6f35ml" w:id="22"/>
      <w:bookmarkEnd w:id="22"/>
      <w:r w:rsidDel="00000000" w:rsidR="00000000" w:rsidRPr="00000000">
        <w:rPr>
          <w:rFonts w:ascii="Arial Unicode MS" w:cs="Arial Unicode MS" w:eastAsia="Arial Unicode MS" w:hAnsi="Arial Unicode MS"/>
          <w:rtl w:val="0"/>
        </w:rPr>
        <w:t xml:space="preserve">　◎ 日本のネット証券(楽天・SBI等) へのアピール</w:t>
      </w:r>
    </w:p>
    <w:p w:rsidR="00000000" w:rsidDel="00000000" w:rsidP="00000000" w:rsidRDefault="00000000" w:rsidRPr="00000000" w14:paraId="0000005E">
      <w:pPr>
        <w:rPr/>
      </w:pPr>
      <w:r w:rsidDel="00000000" w:rsidR="00000000" w:rsidRPr="00000000">
        <w:rPr>
          <w:rFonts w:ascii="Arial Unicode MS" w:cs="Arial Unicode MS" w:eastAsia="Arial Unicode MS" w:hAnsi="Arial Unicode MS"/>
          <w:rtl w:val="0"/>
        </w:rPr>
        <w:t xml:space="preserve">  ・ 【提供価値】: 「新NISA枠の最大化だけでなく、特定口座・一般口座に跨る損益通算・3年繰越控除の自動可視化機能により、ユーザーの離脱を防止。また、ミニマムタックス対策の利益確定平準化シミュレーターにより、高額口座保有者の資産流出を防ぎ、長期的な預かり資産残高（AUM）と取引高を最大化します」</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4"/>
        <w:rPr/>
      </w:pPr>
      <w:bookmarkStart w:colFirst="0" w:colLast="0" w:name="_57ncj6jwxj1h" w:id="23"/>
      <w:bookmarkEnd w:id="23"/>
      <w:r w:rsidDel="00000000" w:rsidR="00000000" w:rsidRPr="00000000">
        <w:rPr>
          <w:rFonts w:ascii="Arial Unicode MS" w:cs="Arial Unicode MS" w:eastAsia="Arial Unicode MS" w:hAnsi="Arial Unicode MS"/>
          <w:rtl w:val="0"/>
        </w:rPr>
        <w:t xml:space="preserve">　◎ 日本のメガバンク (信託・リテール) へのアピール</w:t>
      </w:r>
    </w:p>
    <w:p w:rsidR="00000000" w:rsidDel="00000000" w:rsidP="00000000" w:rsidRDefault="00000000" w:rsidRPr="00000000" w14:paraId="00000061">
      <w:pPr>
        <w:rPr/>
      </w:pPr>
      <w:r w:rsidDel="00000000" w:rsidR="00000000" w:rsidRPr="00000000">
        <w:rPr>
          <w:rFonts w:ascii="Arial Unicode MS" w:cs="Arial Unicode MS" w:eastAsia="Arial Unicode MS" w:hAnsi="Arial Unicode MS"/>
          <w:rtl w:val="0"/>
        </w:rPr>
        <w:t xml:space="preserve">  ・ 【提供価値】: 「こどもNISAから新NISAへのスムーズな口座昇格・贈与動線（110万円枠）を自動化。資産家層に対するミニマムタックス回避のための分散譲与・資産継承シミュレーションを自動提示することで、窓口のコンサルティングコスト削減と次世代への資産還流を強力に推進します」</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2"/>
        <w:rPr/>
      </w:pPr>
      <w:bookmarkStart w:colFirst="0" w:colLast="0" w:name="_kuc3cnlvy8xh" w:id="24"/>
      <w:bookmarkEnd w:id="24"/>
      <w:r w:rsidDel="00000000" w:rsidR="00000000" w:rsidRPr="00000000">
        <w:rPr>
          <w:rFonts w:ascii="Arial Unicode MS" w:cs="Arial Unicode MS" w:eastAsia="Arial Unicode MS" w:hAnsi="Arial Unicode MS"/>
          <w:rtl w:val="0"/>
        </w:rPr>
        <w:t xml:space="preserve">SECTION 5: Amazon (自社)のAWSインフラ戦略 (値付けの仕様)</w:t>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  ・ 【独立型商品化】: ライセンスおよび年間保守料に税法・判例データベース監視ポーリング（Amazon Bedrock等）コストを含めて提供。</w:t>
      </w:r>
    </w:p>
    <w:p w:rsidR="00000000" w:rsidDel="00000000" w:rsidP="00000000" w:rsidRDefault="00000000" w:rsidRPr="00000000" w14:paraId="00000066">
      <w:pPr>
        <w:rPr/>
      </w:pPr>
      <w:r w:rsidDel="00000000" w:rsidR="00000000" w:rsidRPr="00000000">
        <w:rPr>
          <w:rFonts w:ascii="Arial Unicode MS" w:cs="Arial Unicode MS" w:eastAsia="Arial Unicode MS" w:hAnsi="Arial Unicode MS"/>
          <w:rtl w:val="0"/>
        </w:rPr>
        <w:t xml:space="preserve">  ・ 【ドアオープナー仕様】: 基幹AWS移行等の大型インフラ契約獲得時、本システムのライセンス費用を無償化し、戦略的レバレッジとして活用。</w:t>
      </w:r>
    </w:p>
    <w:p w:rsidR="00000000" w:rsidDel="00000000" w:rsidP="00000000" w:rsidRDefault="00000000" w:rsidRPr="00000000" w14:paraId="00000067">
      <w:pPr>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