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left"/>
        <w:rPr/>
      </w:pPr>
      <w:r w:rsidDel="00000000" w:rsidR="00000000" w:rsidRPr="00000000">
        <w:rPr>
          <w:b w:val="1"/>
          <w:bCs w:val="1"/>
          <w:color w:val="182b49"/>
          <w:sz w:val="36"/>
          <w:szCs w:val="36"/>
          <w:rtl w:val="0"/>
        </w:rPr>
        <w:t xml:space="preserve">汎用マルチクラウド資産ガバナンス・プラットフォーム仕様書（抽象モデル）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color w:val="2980b9"/>
          <w:sz w:val="20"/>
          <w:szCs w:val="20"/>
          <w:rtl w:val="0"/>
        </w:rPr>
        <w:t xml:space="preserve">バージョン 2.0  |  高度資産管理・税務ガバナンス基盤 仕様定義書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60" w:before="320" w:lineRule="auto"/>
        <w:rPr>
          <w:b w:val="1"/>
          <w:bCs w:val="1"/>
          <w:color w:val="182b49"/>
          <w:sz w:val="18"/>
          <w:szCs w:val="18"/>
        </w:rPr>
      </w:pPr>
      <w:r w:rsidDel="00000000" w:rsidR="00000000" w:rsidRPr="00000000">
        <w:rPr>
          <w:b w:val="1"/>
          <w:bCs w:val="1"/>
          <w:color w:val="182b49"/>
          <w:sz w:val="18"/>
          <w:szCs w:val="18"/>
          <w:rtl w:val="0"/>
        </w:rPr>
        <w:t xml:space="preserve">© 2026 Hypatia. All rights reserved. </w:t>
      </w:r>
    </w:p>
    <w:p w:rsidR="00000000" w:rsidDel="00000000" w:rsidP="00000000" w:rsidRDefault="00000000" w:rsidRPr="00000000" w14:paraId="00000004">
      <w:pPr>
        <w:keepNext w:val="1"/>
        <w:spacing w:after="160" w:before="320" w:lineRule="auto"/>
        <w:rPr>
          <w:color w:val="182b49"/>
          <w:sz w:val="18"/>
          <w:szCs w:val="18"/>
        </w:rPr>
      </w:pPr>
      <w:r w:rsidDel="00000000" w:rsidR="00000000" w:rsidRPr="00000000">
        <w:rPr>
          <w:color w:val="182b49"/>
          <w:sz w:val="18"/>
          <w:szCs w:val="18"/>
          <w:rtl w:val="0"/>
        </w:rPr>
        <w:t xml:space="preserve">This document is provided for evaluation and architectural discussion purposes only. Unauthorized commercial use, reproduction, or distribution is strictly prohibited.</w:t>
      </w:r>
    </w:p>
    <w:p w:rsidR="00000000" w:rsidDel="00000000" w:rsidP="00000000" w:rsidRDefault="00000000" w:rsidRPr="00000000" w14:paraId="00000005">
      <w:pPr>
        <w:keepNext w:val="1"/>
        <w:spacing w:after="160" w:before="320" w:lineRule="auto"/>
        <w:rPr>
          <w:color w:val="182b4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82b49"/>
          <w:sz w:val="28"/>
          <w:szCs w:val="28"/>
          <w:rtl w:val="0"/>
        </w:rPr>
        <w:t xml:space="preserve">1. エグゼクティブサマリー＆設計思想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本仕様書は、特定のクラウドベンダー（GCP, AWS等）やLLMプロバイダに依存しない「ベンダーアグノスティック（Vendor-Agnostic）」な高度資産管理・税務ガバナンス基盤の標準アーキテクチャを定義するものです。</w:t>
      </w:r>
    </w:p>
    <w:p w:rsidR="00000000" w:rsidDel="00000000" w:rsidP="00000000" w:rsidRDefault="00000000" w:rsidRPr="00000000" w14:paraId="00000008">
      <w:pPr>
        <w:keepNext w:val="1"/>
        <w:spacing w:after="120" w:before="240" w:lineRule="auto"/>
        <w:rPr/>
      </w:pPr>
      <w:r w:rsidDel="00000000" w:rsidR="00000000" w:rsidRPr="00000000">
        <w:rPr>
          <w:b w:val="1"/>
          <w:bCs w:val="1"/>
          <w:color w:val="2980b9"/>
          <w:sz w:val="23"/>
          <w:szCs w:val="23"/>
          <w:rtl w:val="0"/>
        </w:rPr>
        <w:t xml:space="preserve">基本原則：カプセル化とレイヤー分離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コア・ガバナンスロジックの完全カプセル化: 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日本国内の各種証券口座区分、損益通算・繰越控除ルール、最新税制改正（ミニマムタックス等）、およびクロスボーダー規制（米国ウォッシュセール等）などの「ビジネスルール」をインフラ層から高度に隔離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プラットフォーム・アダプタ方式: 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イベント駆動型（AWS等）およびデータセントリック・ストリーミング型（GCP等）の双方向アプローチを、専用アダプタを介して抽象コアへ接続。</w:t>
      </w:r>
    </w:p>
    <w:p w:rsidR="00000000" w:rsidDel="00000000" w:rsidP="00000000" w:rsidRDefault="00000000" w:rsidRPr="00000000" w14:paraId="0000000B">
      <w:pPr>
        <w:keepNext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82b49"/>
          <w:sz w:val="28"/>
          <w:szCs w:val="28"/>
          <w:rtl w:val="0"/>
        </w:rPr>
        <w:t xml:space="preserve">2. システム全体アーキテクチャ（3層カプセル化モデル）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Layout w:type="fixed"/>
        <w:tblLook w:val="04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80b9" w:space="0" w:sz="4" w:val="single"/>
              <w:left w:color="182b49" w:space="0" w:sz="12" w:val="single"/>
              <w:bottom w:color="2980b9" w:space="0" w:sz="4" w:val="single"/>
              <w:right w:color="2980b9" w:space="0" w:sz="4" w:val="single"/>
            </w:tcBorders>
            <w:shd w:fill="f8f9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spacing w:after="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7"/>
                <w:szCs w:val="17"/>
                <w:rtl w:val="0"/>
              </w:rPr>
              <w:t xml:space="preserve">【Layer 1: 共通ガバナンス・コア層 (Abstract Core Engine)】</w:t>
              <w:br w:type="textWrapping"/>
              <w:t xml:space="preserve"> - 高度資産管理 LLM &amp; Data Processing Core</w:t>
              <w:br w:type="textWrapping"/>
              <w:t xml:space="preserve"> - 日本国内 証券口座区分・損益通算・繰越控除管理モジュール</w:t>
              <w:br w:type="textWrapping"/>
              <w:t xml:space="preserve"> - 税務ガバナンス &amp; 最新税制改正（ミニマムタックス）試算エンジン</w:t>
              <w:br w:type="textWrapping"/>
              <w:t xml:space="preserve"> - クロスボーダー取引・米国ウォッシュセール（Wash-Sale）判定エンジン</w:t>
              <w:br w:type="textWrapping"/>
              <w:t xml:space="preserve"> - 雑所得・為替差益自動計算モジュール（移動平均法 / 総平均法）</w:t>
              <w:br w:type="textWrapping"/>
              <w:br w:type="textWrapping"/>
              <w:t xml:space="preserve">                              ▲</w:t>
              <w:br w:type="textWrapping"/>
              <w:t xml:space="preserve">            （標準 API / 抽象インターフェースによるカプセル化）</w:t>
              <w:br w:type="textWrapping"/>
              <w:t xml:space="preserve">                              ▼</w:t>
              <w:br w:type="textWrapping"/>
              <w:br w:type="textWrapping"/>
              <w:t xml:space="preserve">【Layer 2: コントロール＆ポリシー監視層 (Policy &amp; Boundary Layer)】</w:t>
              <w:br w:type="textWrapping"/>
              <w:t xml:space="preserve"> - 税務ガバナンス・マルチバウンダリ監視 (例: 新NISA枠上限制御 / 贈与110万 / 未成年口座管理)</w:t>
              <w:br w:type="textWrapping"/>
              <w:t xml:space="preserve"> - セミオート・ゲートウェイ（外部規制当局・人間承認チェック）</w:t>
              <w:br w:type="textWrapping"/>
              <w:br w:type="textWrapping"/>
              <w:t xml:space="preserve">                              ▲</w:t>
              <w:br w:type="textWrapping"/>
              <w:t xml:space="preserve">            （イベント・メッセージング / ストリーミングアダプタ）</w:t>
              <w:br w:type="textWrapping"/>
              <w:t xml:space="preserve">                              ▼</w:t>
              <w:br w:type="textWrapping"/>
              <w:br w:type="textWrapping"/>
              <w:t xml:space="preserve">【Layer 3: クラウド実装アダプタ層 (Implementation Adapters)】</w:t>
              <w:br w:type="textWrapping"/>
              <w:t xml:space="preserve"> ├─ GCP Adapter: Vertex AI + BigQuery + Cloud Run (Data-Centric)</w:t>
              <w:br w:type="textWrapping"/>
              <w:t xml:space="preserve"> └─ AWS Adapter: Bedrock + EventBridge + Lambda (Event-Driven)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82b49"/>
          <w:sz w:val="28"/>
          <w:szCs w:val="28"/>
          <w:rtl w:val="0"/>
        </w:rPr>
        <w:t xml:space="preserve">3. コンポーネント機能仕様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120" w:before="240" w:lineRule="auto"/>
        <w:rPr/>
      </w:pPr>
      <w:r w:rsidDel="00000000" w:rsidR="00000000" w:rsidRPr="00000000">
        <w:rPr>
          <w:b w:val="1"/>
          <w:bCs w:val="1"/>
          <w:color w:val="2980b9"/>
          <w:sz w:val="23"/>
          <w:szCs w:val="23"/>
          <w:rtl w:val="0"/>
        </w:rPr>
        <w:t xml:space="preserve">① 共通コア・ロジック（Abstract Core）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証券口座区分・課税管理エンジン: 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一般口座 / 特定口座（源泉あり・なし）における申告必要性の自動判定および年間取引報告書データの解析。新NISA（つみたて投資枠120万円/成長投資枠240万円、生涯1,800万円枠）のリアルタイム残額管理・翌年枠復元計算。未成年・旧ジュニアNISA口座における払い出し制限状況および贈与税管理ロジックの網羅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損益通算＆繰越控除計算モジュール: 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上場株式等の譲渡損益と配当所得との損益通算ロジック、および翌年以降3年間にわたる繰越控除のトラッキング。総合課税・分離課税の選択に基づく最適な確定申告シミュレーションを提供。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超高額所得者向け負担適正化（ミニマムタックス）対応試算エンジン: 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基準所得金額から特別控除額（3.3億円等）を差し引いた金額に対し、所定の税率（22.5%等）を乗じて計算するミニマムタックス（極めて高い所得に対する最低税率適用）の該当判定と影響シミュレーション。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米国ウォッシュセール（Wash-Sale Rule）検出・計算エンジン: 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日本国内投資家による米国株・米国ETF等の直接取引において、売却前後の30日（計61日間）以内に同一・実質的に同一の銘柄を買い戻した場合の損金不課税（Loss Disallowance）ルールを自動検知。繰り延べ損失額を買い戻し株の取得価額へ自動加算・調整し、二重課税防止と確定申告データの正確性を保持。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為替差益＆雑所得検知モジュール: 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ドル決済・スワップ等のマルチ通貨取引に対し、移動平均法・総平均法の双方でリアルタイムに評価・計算。</w:t>
      </w:r>
    </w:p>
    <w:p w:rsidR="00000000" w:rsidDel="00000000" w:rsidP="00000000" w:rsidRDefault="00000000" w:rsidRPr="00000000" w14:paraId="00000014">
      <w:pPr>
        <w:keepNext w:val="1"/>
        <w:spacing w:after="120" w:before="240" w:lineRule="auto"/>
        <w:rPr/>
      </w:pPr>
      <w:r w:rsidDel="00000000" w:rsidR="00000000" w:rsidRPr="00000000">
        <w:rPr>
          <w:b w:val="1"/>
          <w:bCs w:val="1"/>
          <w:color w:val="2980b9"/>
          <w:sz w:val="23"/>
          <w:szCs w:val="23"/>
          <w:rtl w:val="0"/>
        </w:rPr>
        <w:t xml:space="preserve">② マルチバウンダリ監視システム（Boundary Enforcement）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閾値監視ルール: 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新NISA各種枠超過時の発注自動遮断・アラート発信、年間110万円の贈与税非課税枠および未成年口座における資金移動の監視。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ガバナンス・エージェント連携: 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セミオート動線により、重要取引発生時に「人間の承認（Human-in-the-Loop）」または「外部規制当局（FSA等）連携」をインターセプト。</w:t>
      </w:r>
    </w:p>
    <w:p w:rsidR="00000000" w:rsidDel="00000000" w:rsidP="00000000" w:rsidRDefault="00000000" w:rsidRPr="00000000" w14:paraId="00000017">
      <w:pPr>
        <w:keepNext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82b49"/>
          <w:sz w:val="28"/>
          <w:szCs w:val="28"/>
          <w:rtl w:val="0"/>
        </w:rPr>
        <w:t xml:space="preserve">4. 区分別・税務機能対応マトリクス</w:t>
      </w:r>
      <w:r w:rsidDel="00000000" w:rsidR="00000000" w:rsidRPr="00000000">
        <w:rPr>
          <w:rtl w:val="0"/>
        </w:rPr>
      </w:r>
    </w:p>
    <w:tbl>
      <w:tblPr>
        <w:tblStyle w:val="Table2"/>
        <w:tblW w:w="9028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shd w:fill="182b49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口座・制度区分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2b49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損益通算・繰越控除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2b49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米国ウォッシュセール適用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2b49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ガバナンス・制御ロジック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一般口座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要確定申告（通算可能）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税務調整・取得価額修正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年間取引損益の自動集計・確定申告サポート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特定口座（源泉あり）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口座内自動通算（他社通算は申告）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税務調整・取得価額修正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源泉徴収税額自動計算・還付最適化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特定口座（源泉なし）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要確定申告（通算可能）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税務調整・取得価額修正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年間取引報告書自動生成・確定申告アラート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新NISA（つみたて/成長）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対象外（非課税のため不可）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適用外（非課税枠内）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年間枠（120万/240万）・生涯枠（1800万）リアルタイム遮断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未成年・旧ジュニアNISA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口座区分に準拠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税務調整・取得価額修正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贈与判定・名義株リスク監視・払出管理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82b49"/>
          <w:sz w:val="28"/>
          <w:szCs w:val="28"/>
          <w:rtl w:val="0"/>
        </w:rPr>
        <w:t xml:space="preserve">5. クラウド別インプリメンテーション・マッピング</w:t>
      </w: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182b49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抽象機能コンポーネント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2b49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GCP実装アプローチ (データ集約型)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2b49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AWS実装アプローチ (イベント駆動型)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高度ガバナンス・税務計算コア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Vertex AI Agent Builder + Cloud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Amazon Bedrock Agents + AWS Lambda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監査・取引・ウォッシュセール履歴基盤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BigQuery (リアルタイム・アナリティクス)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Amazon DynamoDB / Redshift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バウンダリ監視パイプライン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Dataflow + Pub/Sub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AWS EventBridge + Step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権限・セキュリティ境界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Dataplex / IAM Conditional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AWS KMS + IAM Policy Boundaries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1"/>
        <w:spacing w:after="160" w:before="320" w:lineRule="auto"/>
        <w:rPr/>
      </w:pPr>
      <w:r w:rsidDel="00000000" w:rsidR="00000000" w:rsidRPr="00000000">
        <w:rPr>
          <w:b w:val="1"/>
          <w:bCs w:val="1"/>
          <w:color w:val="182b49"/>
          <w:sz w:val="28"/>
          <w:szCs w:val="28"/>
          <w:rtl w:val="0"/>
        </w:rPr>
        <w:t xml:space="preserve">6. 本モデルの成果とメリット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日本特有の複雑な税制・口座区分への完全対応: 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特定口座・新NISAなどの国内制度および確定申告ロジック（損益通算・繰越控除・ミニマムタックス対応）を網羅。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クロスボーダー投資（米国株・ETF）リスクの排除: 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米国ウォッシュセール規制の自動判定・調整ロジックを備えることで、米国株投資時の二重課税や計算ズレを防止。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36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高移植性と低運用コスト: 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クラウドインフラに依存せず共通ルールを適用できるため、インフラの変更や制度改正に伴う保守負担を最小化。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eiryo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iryo" w:cs="Meiryo" w:eastAsia="Meiryo" w:hAnsi="Meiryo"/>
        <w:color w:val="333333"/>
        <w:sz w:val="21"/>
        <w:szCs w:val="21"/>
        <w:lang w:val="en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fo3UcOd5OJCLYcHiGrtYi1mVQ==">CgMxLjA4AHIhMUphdDZSQ0hlRS0wWmkzREJ4dGlqYUNIajRuZ2ZTWEtP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