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b/>
          <w:color w:val="182B49"/>
          <w:sz w:val="36"/>
        </w:rPr>
        <w:t>汎用マルチクラウド資産ガバナンス・プラットフォーム仕様書（抽象モデル）</w:t>
      </w:r>
    </w:p>
    <w:p>
      <w:pPr>
        <w:spacing w:after="360"/>
      </w:pPr>
      <w:r>
        <w:rPr>
          <w:color w:val="2980B9"/>
          <w:sz w:val="20"/>
        </w:rPr>
        <w:t>バージョン 2.0  |  高度資産管理・税務ガバナンス基盤 仕様定義書</w:t>
      </w:r>
    </w:p>
    <w:p>
      <w:pPr>
        <w:keepNext/>
        <w:spacing w:before="320" w:after="160"/>
      </w:pPr>
      <w:r>
        <w:rPr>
          <w:b/>
          <w:color w:val="182B49"/>
          <w:sz w:val="28"/>
        </w:rPr>
        <w:t>1. エグゼクティブサマリー＆設計思想</w:t>
      </w:r>
    </w:p>
    <w:p>
      <w:r>
        <w:t>本仕様書は、特定のクラウドベンダー（GCP, AWS等）やLLMプロバイダに依存しない「ベンダーアグノスティック（Vendor-Agnostic）」な高度資産管理・税務ガバナンス基盤の標準アーキテクチャを定義するものです。</w:t>
      </w:r>
    </w:p>
    <w:p>
      <w:pPr>
        <w:keepNext/>
        <w:spacing w:before="240" w:after="120"/>
      </w:pPr>
      <w:r>
        <w:rPr>
          <w:b/>
          <w:color w:val="2980B9"/>
          <w:sz w:val="23"/>
        </w:rPr>
        <w:t>基本原則：カプセル化とレイヤー分離</w:t>
      </w:r>
    </w:p>
    <w:p>
      <w:pPr>
        <w:pStyle w:val="ListBullet"/>
      </w:pPr>
      <w:r>
        <w:rPr>
          <w:b/>
        </w:rPr>
        <w:t xml:space="preserve">コア・ガバナンスロジックの完全カプセル化: </w:t>
      </w:r>
      <w:r>
        <w:t>日本国内の各種証券口座区分、損益通算・繰越控除ルール、最新税制改正（ミニマムタックス等）、およびクロスボーダー規制（米国ウォッシュセール等）などの「ビジネスルール」をインフラ層から高度に隔離。</w:t>
      </w:r>
    </w:p>
    <w:p>
      <w:pPr>
        <w:pStyle w:val="ListBullet"/>
      </w:pPr>
      <w:r>
        <w:rPr>
          <w:b/>
        </w:rPr>
        <w:t xml:space="preserve">プラットフォーム・アダプタ方式: </w:t>
      </w:r>
      <w:r>
        <w:t>イベント駆動型（AWS等）およびデータセントリック・ストリーミング型（GCP等）の双方向アプローチを、専用アダプタを介して抽象コアへ接続。</w:t>
      </w:r>
    </w:p>
    <w:p>
      <w:pPr>
        <w:keepNext/>
        <w:spacing w:before="320" w:after="160"/>
      </w:pPr>
      <w:r>
        <w:rPr>
          <w:b/>
          <w:color w:val="182B49"/>
          <w:sz w:val="28"/>
        </w:rPr>
        <w:t>2. システム全体アーキテクチャ（3層カプセル化モデル）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8F9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2980B9"/>
              <w:left w:val="single" w:sz="12" w:space="0" w:color="182B49"/>
              <w:bottom w:val="single" w:sz="4" w:space="0" w:color="2980B9"/>
              <w:right w:val="single" w:sz="4" w:space="0" w:color="2980B9"/>
            </w:tcBorders>
          </w:tcPr>
          <w:p>
            <w:pPr>
              <w:spacing w:line="276" w:lineRule="auto" w:after="0"/>
            </w:pPr>
            <w:r>
              <w:rPr>
                <w:rFonts w:ascii="Consolas" w:hAnsi="Consolas"/>
                <w:color w:val="333333"/>
                <w:sz w:val="17"/>
              </w:rPr>
              <w:t>【Layer 1: 共通ガバナンス・コア層 (Abstract Core Engine)】</w:t>
              <w:br/>
              <w:t xml:space="preserve"> - 高度資産管理 LLM &amp; Data Processing Core</w:t>
              <w:br/>
              <w:t xml:space="preserve"> - 日本国内 証券口座区分・損益通算・繰越控除管理モジュール</w:t>
              <w:br/>
              <w:t xml:space="preserve"> - 税務ガバナンス &amp; 最新税制改正（ミニマムタックス）試算エンジン</w:t>
              <w:br/>
              <w:t xml:space="preserve"> - クロスボーダー取引・米国ウォッシュセール（Wash-Sale）判定エンジン</w:t>
              <w:br/>
              <w:t xml:space="preserve"> - 雑所得・為替差益自動計算モジュール（移動平均法 / 総平均法）</w:t>
              <w:br/>
              <w:br/>
              <w:t xml:space="preserve">                              ▲</w:t>
              <w:br/>
              <w:t xml:space="preserve">            （標準 API / 抽象インターフェースによるカプセル化）</w:t>
              <w:br/>
              <w:t xml:space="preserve">                              ▼</w:t>
              <w:br/>
              <w:br/>
              <w:t>【Layer 2: コントロール＆ポリシー監視層 (Policy &amp; Boundary Layer)】</w:t>
              <w:br/>
              <w:t xml:space="preserve"> - 税務ガバナンス・マルチバウンダリ監視 (例: 新NISA枠上限制御 / 贈与110万 / 未成年口座管理)</w:t>
              <w:br/>
              <w:t xml:space="preserve"> - セミオート・ゲートウェイ（外部規制当局・人間承認チェック）</w:t>
              <w:br/>
              <w:br/>
              <w:t xml:space="preserve">                              ▲</w:t>
              <w:br/>
              <w:t xml:space="preserve">            （イベント・メッセージング / ストリーミングアダプタ）</w:t>
              <w:br/>
              <w:t xml:space="preserve">                              ▼</w:t>
              <w:br/>
              <w:br/>
              <w:t>【Layer 3: クラウド実装アダプタ層 (Implementation Adapters)】</w:t>
              <w:br/>
              <w:t xml:space="preserve"> ├─ GCP Adapter: Vertex AI + BigQuery + Cloud Run (Data-Centric)</w:t>
              <w:br/>
              <w:t xml:space="preserve"> └─ AWS Adapter: Bedrock + EventBridge + Lambda (Event-Driven)</w:t>
            </w:r>
          </w:p>
        </w:tc>
      </w:tr>
    </w:tbl>
    <w:p>
      <w:pPr>
        <w:keepNext/>
        <w:spacing w:before="320" w:after="160"/>
      </w:pPr>
      <w:r>
        <w:rPr>
          <w:b/>
          <w:color w:val="182B49"/>
          <w:sz w:val="28"/>
        </w:rPr>
        <w:t>3. コンポーネント機能仕様</w:t>
      </w:r>
    </w:p>
    <w:p>
      <w:pPr>
        <w:keepNext/>
        <w:spacing w:before="240" w:after="120"/>
      </w:pPr>
      <w:r>
        <w:rPr>
          <w:b/>
          <w:color w:val="2980B9"/>
          <w:sz w:val="23"/>
        </w:rPr>
        <w:t>① 共通コア・ロジック（Abstract Core）</w:t>
      </w:r>
    </w:p>
    <w:p>
      <w:pPr>
        <w:pStyle w:val="ListBullet"/>
      </w:pPr>
      <w:r>
        <w:rPr>
          <w:b/>
        </w:rPr>
        <w:t xml:space="preserve">証券口座区分・課税管理エンジン: </w:t>
      </w:r>
      <w:r>
        <w:t>一般口座 / 特定口座（源泉あり・なし）における申告必要性の自動判定および年間取引報告書データの解析。新NISA（つみたて投資枠120万円/成長投資枠240万円、生涯1,800万円枠）のリアルタイム残額管理・翌年枠復元計算。未成年・旧ジュニアNISA口座における払い出し制限状況および贈与税管理ロジックの網羅。</w:t>
      </w:r>
    </w:p>
    <w:p>
      <w:pPr>
        <w:pStyle w:val="ListBullet"/>
      </w:pPr>
      <w:r>
        <w:rPr>
          <w:b/>
        </w:rPr>
        <w:t xml:space="preserve">損益通算＆繰越控除計算モジュール: </w:t>
      </w:r>
      <w:r>
        <w:t>上場株式等の譲渡損益と配当所得との損益通算ロジック、および翌年以降3年間にわたる繰越控除のトラッキング。総合課税・分離課税の選択に基づく最適な確定申告シミュレーションを提供。</w:t>
      </w:r>
    </w:p>
    <w:p>
      <w:pPr>
        <w:pStyle w:val="ListBullet"/>
      </w:pPr>
      <w:r>
        <w:rPr>
          <w:b/>
        </w:rPr>
        <w:t xml:space="preserve">超高額所得者向け負担適正化（ミニマムタックス）対応試算エンジン: </w:t>
      </w:r>
      <w:r>
        <w:t>基準所得金額から特別控除額（3.3億円等）を差し引いた金額に対し、所定の税率（22.5%等）を乗じて計算するミニマムタックス（極めて高い所得に対する最低税率適用）の該当判定と影響シミュレーション。</w:t>
      </w:r>
    </w:p>
    <w:p>
      <w:pPr>
        <w:pStyle w:val="ListBullet"/>
      </w:pPr>
      <w:r>
        <w:rPr>
          <w:b/>
        </w:rPr>
        <w:t xml:space="preserve">米国ウォッシュセール（Wash-Sale Rule）検出・計算エンジン: </w:t>
      </w:r>
      <w:r>
        <w:t>日本国内投資家による米国株・米国ETF等の直接取引において、売却前後の30日（計61日間）以内に同一・実質的に同一の銘柄を買い戻した場合の損金不課税（Loss Disallowance）ルールを自動検知。繰り延べ損失額を買い戻し株の取得価額へ自動加算・調整し、二重課税防止と確定申告データの正確性を保持。</w:t>
      </w:r>
    </w:p>
    <w:p>
      <w:pPr>
        <w:pStyle w:val="ListBullet"/>
      </w:pPr>
      <w:r>
        <w:rPr>
          <w:b/>
        </w:rPr>
        <w:t xml:space="preserve">為替差益＆雑所得検知モジュール: </w:t>
      </w:r>
      <w:r>
        <w:t>ドル決済・スワップ等のマルチ通貨取引に対し、移動平均法・総平均法の双方でリアルタイムに評価・計算。</w:t>
      </w:r>
    </w:p>
    <w:p>
      <w:pPr>
        <w:keepNext/>
        <w:spacing w:before="240" w:after="120"/>
      </w:pPr>
      <w:r>
        <w:rPr>
          <w:b/>
          <w:color w:val="2980B9"/>
          <w:sz w:val="23"/>
        </w:rPr>
        <w:t>② マルチバウンダリ監視システム（Boundary Enforcement）</w:t>
      </w:r>
    </w:p>
    <w:p>
      <w:pPr>
        <w:pStyle w:val="ListBullet"/>
      </w:pPr>
      <w:r>
        <w:rPr>
          <w:b/>
        </w:rPr>
        <w:t xml:space="preserve">閾値監視ルール: </w:t>
      </w:r>
      <w:r>
        <w:t>新NISA各種枠超過時の発注自動遮断・アラート発信、年間110万円の贈与税非課税枠および未成年口座における資金移動の監視。</w:t>
      </w:r>
    </w:p>
    <w:p>
      <w:pPr>
        <w:pStyle w:val="ListBullet"/>
      </w:pPr>
      <w:r>
        <w:rPr>
          <w:b/>
        </w:rPr>
        <w:t xml:space="preserve">ガバナンス・エージェント連携: </w:t>
      </w:r>
      <w:r>
        <w:t>セミオート動線により、重要取引発生時に「人間の承認（Human-in-the-Loop）」または「外部規制当局（FSA等）連携」をインターセプト。</w:t>
      </w:r>
    </w:p>
    <w:p>
      <w:pPr>
        <w:keepNext/>
        <w:spacing w:before="320" w:after="160"/>
      </w:pPr>
      <w:r>
        <w:rPr>
          <w:b/>
          <w:color w:val="182B49"/>
          <w:sz w:val="28"/>
        </w:rPr>
        <w:t>4. 区分別・税務機能対応マトリクス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82B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口座・制度区分</w:t>
            </w:r>
          </w:p>
        </w:tc>
        <w:tc>
          <w:tcPr>
            <w:tcW w:type="dxa" w:w="2257"/>
            <w:shd w:fill="182B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損益通算・繰越控除</w:t>
            </w:r>
          </w:p>
        </w:tc>
        <w:tc>
          <w:tcPr>
            <w:tcW w:type="dxa" w:w="2257"/>
            <w:shd w:fill="182B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米国ウォッシュセール適用</w:t>
            </w:r>
          </w:p>
        </w:tc>
        <w:tc>
          <w:tcPr>
            <w:tcW w:type="dxa" w:w="2257"/>
            <w:shd w:fill="182B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ガバナンス・制御ロジック</w:t>
            </w:r>
          </w:p>
        </w:tc>
      </w:tr>
      <w:tr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一般口座</w:t>
            </w:r>
          </w:p>
        </w:tc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要確定申告（通算可能）</w:t>
            </w:r>
          </w:p>
        </w:tc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税務調整・取得価額修正</w:t>
            </w:r>
          </w:p>
        </w:tc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年間取引損益の自動集計・確定申告サポート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特定口座（源泉あり）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口座内自動通算（他社通算は申告）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税務調整・取得価額修正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源泉徴収税額自動計算・還付最適化</w:t>
            </w:r>
          </w:p>
        </w:tc>
      </w:tr>
      <w:tr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特定口座（源泉なし）</w:t>
            </w:r>
          </w:p>
        </w:tc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要確定申告（通算可能）</w:t>
            </w:r>
          </w:p>
        </w:tc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税務調整・取得価額修正</w:t>
            </w:r>
          </w:p>
        </w:tc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年間取引報告書自動生成・確定申告アラート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新NISA（つみたて/成長）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対象外（非課税のため不可）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適用外（非課税枠内）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年間枠（120万/240万）・生涯枠（1800万）リアルタイム遮断</w:t>
            </w:r>
          </w:p>
        </w:tc>
      </w:tr>
      <w:tr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未成年・旧ジュニアNISA</w:t>
            </w:r>
          </w:p>
        </w:tc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口座区分に準拠</w:t>
            </w:r>
          </w:p>
        </w:tc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税務調整・取得価額修正</w:t>
            </w:r>
          </w:p>
        </w:tc>
        <w:tc>
          <w:tcPr>
            <w:tcW w:type="dxa" w:w="2257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贈与判定・名義株リスク監視・払出管理</w:t>
            </w:r>
          </w:p>
        </w:tc>
      </w:tr>
    </w:tbl>
    <w:p>
      <w:pPr>
        <w:keepNext/>
        <w:spacing w:before="320" w:after="160"/>
      </w:pPr>
      <w:r>
        <w:rPr>
          <w:b/>
          <w:color w:val="182B49"/>
          <w:sz w:val="28"/>
        </w:rPr>
        <w:t>5. クラウド別インプリメンテーション・マッピング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none"/>
          <w:left w:val="none"/>
          <w:right w:val="none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82B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抽象機能コンポーネント</w:t>
            </w:r>
          </w:p>
        </w:tc>
        <w:tc>
          <w:tcPr>
            <w:tcW w:type="dxa" w:w="3010"/>
            <w:shd w:fill="182B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GCP実装アプローチ (データ集約型)</w:t>
            </w:r>
          </w:p>
        </w:tc>
        <w:tc>
          <w:tcPr>
            <w:tcW w:type="dxa" w:w="3010"/>
            <w:shd w:fill="182B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AWS実装アプローチ (イベント駆動型)</w:t>
            </w:r>
          </w:p>
        </w:tc>
      </w:tr>
      <w:tr>
        <w:tc>
          <w:tcPr>
            <w:tcW w:type="dxa" w:w="3010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高度ガバナンス・税務計算コア</w:t>
            </w:r>
          </w:p>
        </w:tc>
        <w:tc>
          <w:tcPr>
            <w:tcW w:type="dxa" w:w="3010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Vertex AI Agent Builder + Cloud Run</w:t>
            </w:r>
          </w:p>
        </w:tc>
        <w:tc>
          <w:tcPr>
            <w:tcW w:type="dxa" w:w="3010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Amazon Bedrock Agents + AWS Lambda</w:t>
            </w:r>
          </w:p>
        </w:tc>
      </w:tr>
      <w:tr>
        <w:tc>
          <w:tcPr>
            <w:tcW w:type="dxa" w:w="301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監査・取引・ウォッシュセール履歴基盤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BigQuery (リアルタイム・アナリティクス)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Amazon DynamoDB / Redshift</w:t>
            </w:r>
          </w:p>
        </w:tc>
      </w:tr>
      <w:tr>
        <w:tc>
          <w:tcPr>
            <w:tcW w:type="dxa" w:w="3010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バウンダリ監視パイプライン</w:t>
            </w:r>
          </w:p>
        </w:tc>
        <w:tc>
          <w:tcPr>
            <w:tcW w:type="dxa" w:w="3010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Dataflow + Pub/Sub</w:t>
            </w:r>
          </w:p>
        </w:tc>
        <w:tc>
          <w:tcPr>
            <w:tcW w:type="dxa" w:w="3010"/>
            <w:shd w:fill="F4F6F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AWS EventBridge + Step Functions</w:t>
            </w:r>
          </w:p>
        </w:tc>
      </w:tr>
      <w:tr>
        <w:tc>
          <w:tcPr>
            <w:tcW w:type="dxa" w:w="301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権限・セキュリティ境界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Dataplex / IAM Conditional Binding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8"/>
              </w:rPr>
              <w:t>AWS KMS + IAM Policy Boundaries</w:t>
            </w:r>
          </w:p>
        </w:tc>
      </w:tr>
    </w:tbl>
    <w:p>
      <w:pPr>
        <w:keepNext/>
        <w:spacing w:before="320" w:after="160"/>
      </w:pPr>
      <w:r>
        <w:rPr>
          <w:b/>
          <w:color w:val="182B49"/>
          <w:sz w:val="28"/>
        </w:rPr>
        <w:t>6. 本モデルの成果とメリット</w:t>
      </w:r>
    </w:p>
    <w:p>
      <w:pPr>
        <w:pStyle w:val="ListBullet"/>
      </w:pPr>
      <w:r>
        <w:rPr>
          <w:b/>
        </w:rPr>
        <w:t xml:space="preserve">日本特有の複雑な税制・口座区分への完全対応: </w:t>
      </w:r>
      <w:r>
        <w:t>特定口座・新NISAなどの国内制度および確定申告ロジック（損益通算・繰越控除・ミニマムタックス対応）を網羅。</w:t>
      </w:r>
    </w:p>
    <w:p>
      <w:pPr>
        <w:pStyle w:val="ListBullet"/>
      </w:pPr>
      <w:r>
        <w:rPr>
          <w:b/>
        </w:rPr>
        <w:t xml:space="preserve">クロスボーダー投資（米国株・ETF）リスクの排除: </w:t>
      </w:r>
      <w:r>
        <w:t>米国ウォッシュセール規制の自動判定・調整ロジックを備えることで、米国株投資時の二重課税や計算ズレを防止。</w:t>
      </w:r>
    </w:p>
    <w:p>
      <w:pPr>
        <w:pStyle w:val="ListBullet"/>
      </w:pPr>
      <w:r>
        <w:rPr>
          <w:b/>
        </w:rPr>
        <w:t xml:space="preserve">高移植性と低運用コスト: </w:t>
      </w:r>
      <w:r>
        <w:t>クラウドインフラに依存せず共通ルールを適用できるため、インフラの変更や制度改正に伴う保守負担を最小化。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Meiryo" w:hAnsi="Meiryo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