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3qwp719rhu32" w:id="0"/>
      <w:bookmarkEnd w:id="0"/>
      <w:r w:rsidDel="00000000" w:rsidR="00000000" w:rsidRPr="00000000">
        <w:rPr>
          <w:rFonts w:ascii="Arial Unicode MS" w:cs="Arial Unicode MS" w:eastAsia="Arial Unicode MS" w:hAnsi="Arial Unicode MS"/>
          <w:b w:val="1"/>
          <w:bCs w:val="1"/>
          <w:sz w:val="34"/>
          <w:szCs w:val="34"/>
          <w:rtl w:val="0"/>
        </w:rPr>
        <w:t xml:space="preserve">02_コンプライアンス＆リスク管理解説書（AWSガバナンス・ネイティブ仕様・改訂対応版）</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ttzyy2eiy38j"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共通コア・アルゴリズムにおけるリスク排除</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入力層（子供・外部環境）:</w:t>
      </w:r>
      <w:r w:rsidDel="00000000" w:rsidR="00000000" w:rsidRPr="00000000">
        <w:rPr>
          <w:rFonts w:ascii="Arial Unicode MS" w:cs="Arial Unicode MS" w:eastAsia="Arial Unicode MS" w:hAnsi="Arial Unicode MS"/>
          <w:rtl w:val="0"/>
        </w:rPr>
        <w:t xml:space="preserve"> 抽象的な投資データは一切排除し、日々の「お小遣い」のトレードオフ（流動性と機会損失の選択ログ）のみを定性入力として受け付ける。また、適時開示、官報、規制当局の発信情報、税務判例、税制改正大綱などの外部レギュラトリー・データソースを、サーバーレスなクローラーである AWS Glue および Amazon EventBridge を用いてリアルタイムにクローリングする。</w:t>
      </w:r>
    </w:p>
    <w:p w:rsidR="00000000" w:rsidDel="00000000" w:rsidP="00000000" w:rsidRDefault="00000000" w:rsidRPr="00000000" w14:paraId="00000004">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変換層（AI）:</w:t>
      </w:r>
      <w:r w:rsidDel="00000000" w:rsidR="00000000" w:rsidRPr="00000000">
        <w:rPr>
          <w:rFonts w:ascii="Arial Unicode MS" w:cs="Arial Unicode MS" w:eastAsia="Arial Unicode MS" w:hAnsi="Arial Unicode MS"/>
          <w:rtl w:val="0"/>
        </w:rPr>
        <w:t xml:space="preserve"> 「逆張り」等の初心者向けハイリスク行動（エラー）をハードコードで排除する。さらに、クローリングした外部データから特定の銘柄や金融機関に関連する「経済制裁」「行政指導による業務停止命令」「上場廃止」および「税務・判例変更リスク・税制改正（ミニマムタックス等）」のリスク因子を検知・プロファイリングする。</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wg1g5kldu05g"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リーガル＆タックス・ゲートウェイ（コンプライアンスのカプセル化）</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投資助言リスクの排除:</w:t>
      </w:r>
      <w:r w:rsidDel="00000000" w:rsidR="00000000" w:rsidRPr="00000000">
        <w:rPr>
          <w:rFonts w:ascii="Arial Unicode MS" w:cs="Arial Unicode MS" w:eastAsia="Arial Unicode MS" w:hAnsi="Arial Unicode MS"/>
          <w:rtl w:val="0"/>
        </w:rPr>
        <w:t xml:space="preserve"> 金融商品取引法や投資助言（米国SEC/FINRA規制）にまつわる法的責任は、フロントに立つ金融機関の既存の免責・コンプライアンスレイヤーに完全に準拠させる。生成AI基盤である Amazon Bedrock のガードレール機能（Guardrails for Amazon Bedrock）を活用し、AIのアウトプット層に「特定個別銘柄の推奨」や「断定的利益の約束」を絶対に吐き出させないための「物理的なハード・ガードレール（出力検閲ロック・不適切ワード遮断）」を完全実装する。</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日本型全口座区分（一般・特定・新NISA・こどもNISA）別・自動制御モジュール:</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新NISA（つみたて投資枠・成長投資枠）:</w:t>
      </w:r>
      <w:r w:rsidDel="00000000" w:rsidR="00000000" w:rsidRPr="00000000">
        <w:rPr>
          <w:rFonts w:ascii="Arial Unicode MS" w:cs="Arial Unicode MS" w:eastAsia="Arial Unicode MS" w:hAnsi="Arial Unicode MS"/>
          <w:rtl w:val="0"/>
        </w:rPr>
        <w:t xml:space="preserve"> 年間非課税枠（120万円/240万円）および生涯非課税保有限度額（1,800万円）の消化状況をリアルタイム追跡し、枠超過リスク前に成長投資枠への動線最適化や特定口座への自動振替シミュレーションを実施。</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特定口座（源泉徴収あり/なし）＆一般口座:</w:t>
      </w:r>
      <w:r w:rsidDel="00000000" w:rsidR="00000000" w:rsidRPr="00000000">
        <w:rPr>
          <w:rFonts w:ascii="Arial Unicode MS" w:cs="Arial Unicode MS" w:eastAsia="Arial Unicode MS" w:hAnsi="Arial Unicode MS"/>
          <w:rtl w:val="0"/>
        </w:rPr>
        <w:t xml:space="preserve"> 確定申告の要否を自動判定。源泉徴収あり口座での税金自動徴収の可視化、源泉なし・一般口座における確定申告必要額の事前通知を行う。</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rtl w:val="0"/>
        </w:rPr>
        <w:t xml:space="preserve">こどもNISA（旧ジュニアNISA含む受入管理）:</w:t>
      </w:r>
      <w:r w:rsidDel="00000000" w:rsidR="00000000" w:rsidRPr="00000000">
        <w:rPr>
          <w:rFonts w:ascii="Arial Unicode MS" w:cs="Arial Unicode MS" w:eastAsia="Arial Unicode MS" w:hAnsi="Arial Unicode MS"/>
          <w:rtl w:val="0"/>
        </w:rPr>
        <w:t xml:space="preserve"> 払出制限や成人（18歳）到達時の自動口座移管・権限シフト動線とシームレスに連携。</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金融所得ミニマムタックス（最低30%課税強化）対策シミュレーター:</w:t>
      </w:r>
      <w:r w:rsidDel="00000000" w:rsidR="00000000" w:rsidRPr="00000000">
        <w:rPr>
          <w:rFonts w:ascii="Arial Unicode MS" w:cs="Arial Unicode MS" w:eastAsia="Arial Unicode MS" w:hAnsi="Arial Unicode MS"/>
          <w:rtl w:val="0"/>
        </w:rPr>
        <w:t xml:space="preserve"> 超高所得層を対象とする金融所得・総合所得に対する最低負担率（ミニマムタックス）の導入・法改正動向を監視。単年度の過度な利益確定を回避し、年を跨いだ利益実現の平準化、NISA枠の最大活用、生前贈与枠（年間110万円）への分散ルーティングにより、実効税率上昇を抑える税務最適化シミュレーションを提示。</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日本市場向け 損益通算＆3年繰越控除最適化エンジン:</w:t>
      </w:r>
      <w:r w:rsidDel="00000000" w:rsidR="00000000" w:rsidRPr="00000000">
        <w:rPr>
          <w:rFonts w:ascii="Arial Unicode MS" w:cs="Arial Unicode MS" w:eastAsia="Arial Unicode MS" w:hAnsi="Arial Unicode MS"/>
          <w:rtl w:val="0"/>
        </w:rPr>
        <w:t xml:space="preserve"> 複数口座（特定口座源泉あり/なし、一般口座）や複数証券会社を跨ぐ損益を合算試算。年間で生じた譲渡損失の「3年間の繰越控除」ログを自動トラッキングし、翌年以降の含み益実現タイミングをAIが提示。確定申告に必要な「年間取引報告書統合データ（CSV/PDF）」をワンクリック出力。</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米株ウォッシュセール（Wash-Sale Rule）自動検知・責任分解モジュール:</w:t>
      </w:r>
      <w:r w:rsidDel="00000000" w:rsidR="00000000" w:rsidRPr="00000000">
        <w:rPr>
          <w:rFonts w:ascii="Arial Unicode MS" w:cs="Arial Unicode MS" w:eastAsia="Arial Unicode MS" w:hAnsi="Arial Unicode MS"/>
          <w:rtl w:val="0"/>
        </w:rPr>
        <w:t xml:space="preserve"> 損失確定を伴う売却が行われた際、前後30日間（計61日間）の同一・同種銘柄の売買ログをミクロ追跡し、30日以内の再買い戻しによる「損失控除の否認リスク」をリアルタイムで検知・プロテクトする。法的リスク回避のため、導入企業（金融機関）との明確な責任分解（SLA）構造（プラットフォーム側の計算・代替案提示 / 金融機関側の判定マッピング・遮断ポリシー設定）を確立する。</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贈与税境界値（年間110万円）のハードロック:</w:t>
      </w:r>
      <w:r w:rsidDel="00000000" w:rsidR="00000000" w:rsidRPr="00000000">
        <w:rPr>
          <w:rFonts w:ascii="Arial Unicode MS" w:cs="Arial Unicode MS" w:eastAsia="Arial Unicode MS" w:hAnsi="Arial Unicode MS"/>
          <w:rtl w:val="0"/>
        </w:rPr>
        <w:t xml:space="preserve"> 日本市場版においては、「暦年贈与の基礎控除額（年間110万円）」をシステム上の絶対的な境界値（バウンダリ）として Amazon DynamoDB にハードコードする。年間累積投資額が100万円に達した時点で親コンソールへスマート通知し、110万円を突破するトランザクションはシステム側で自動ホールド、金融機関側の税務コンサルティング動線へ最適ルーティングする。</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為替差益自動トラッキング＆雑所得検知モジュール（最高裁判決対応）:</w:t>
      </w:r>
      <w:r w:rsidDel="00000000" w:rsidR="00000000" w:rsidRPr="00000000">
        <w:rPr>
          <w:rFonts w:ascii="Arial Unicode MS" w:cs="Arial Unicode MS" w:eastAsia="Arial Unicode MS" w:hAnsi="Arial Unicode MS"/>
          <w:rtl w:val="0"/>
        </w:rPr>
        <w:t xml:space="preserve"> ドル建て資産の売却や乗り換え時に生じた「為替差益（雑所得）」をバックエンドで自動算定。平均取得単価（移動平均法／総平均法）を全自動で維持・更新し、雑所得が確定申告ライン（20万円）に接近した段階で事前アラートを出力する。</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12koofes9175" w:id="3"/>
      <w:bookmarkEnd w:id="3"/>
      <w:r w:rsidDel="00000000" w:rsidR="00000000" w:rsidRPr="00000000">
        <w:rPr>
          <w:rFonts w:ascii="Arial Unicode MS" w:cs="Arial Unicode MS" w:eastAsia="Arial Unicode MS" w:hAnsi="Arial Unicode MS"/>
          <w:b w:val="1"/>
          <w:bCs w:val="1"/>
          <w:color w:val="000000"/>
          <w:sz w:val="26"/>
          <w:szCs w:val="26"/>
          <w:rtl w:val="0"/>
        </w:rPr>
        <w:t xml:space="preserve">3. レギュラトリー・リスク・ゲートウェイ＆ガバナンス・コンソール</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経済制裁」「行政指導による業務停止命令」「上場廃止」「税制・最高裁判決等による課税仕様変更・ミニマムタックス適用基準変更」といったマクロリスクに対し、AWSの「人間によるレビュー機能」を組み込み、安全なデータフローを確立する。</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2レイヤー・ホールド・ワークフロー:</w:t>
      </w:r>
      <w:r w:rsidDel="00000000" w:rsidR="00000000" w:rsidRPr="00000000">
        <w:rPr>
          <w:rFonts w:ascii="Arial Unicode MS" w:cs="Arial Unicode MS" w:eastAsia="Arial Unicode MS" w:hAnsi="Arial Unicode MS"/>
          <w:rtl w:val="0"/>
        </w:rPr>
        <w:t xml:space="preserve"> AIが判例変更やマクロリスク、税制改正を検知すると、対象銘柄へのシミュレーションやリダイレクトを「保留（Pending）」ステータスとする。Amazon Augmented AI（Amazon A2I）を統合し、金融機関管理者がコンソール上で承認を行うことで「取引制限」や「確定申告注意ポップアップ」等のUIが正式発動する。</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リスクコントロール・スイッチ:</w:t>
      </w:r>
      <w:r w:rsidDel="00000000" w:rsidR="00000000" w:rsidRPr="00000000">
        <w:rPr>
          <w:rFonts w:ascii="Arial Unicode MS" w:cs="Arial Unicode MS" w:eastAsia="Arial Unicode MS" w:hAnsi="Arial Unicode MS"/>
          <w:rtl w:val="0"/>
        </w:rPr>
        <w:t xml:space="preserve"> 金融機関のコンプライアンス担当者がカテゴリ別（経済制裁・業務停止命令・上場廃止・税制判例・ミニマムタックス・ウォッシュセール判定閾値等）のスイッチをマニュアルで一括制御できる管理者画面を提供する。</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イベント期間のセミオート管理:</w:t>
      </w:r>
      <w:r w:rsidDel="00000000" w:rsidR="00000000" w:rsidRPr="00000000">
        <w:rPr>
          <w:rFonts w:ascii="Arial Unicode MS" w:cs="Arial Unicode MS" w:eastAsia="Arial Unicode MS" w:hAnsi="Arial Unicode MS"/>
          <w:rtl w:val="0"/>
        </w:rPr>
        <w:t xml:space="preserve"> 各リスクイベントの「開始日時」「終了日時（未定フラグ可）」を設定・管理可能とし、ガイドライン確定時に手動で上書き・確定させる運用とする。</w:t>
      </w:r>
    </w:p>
    <w:p w:rsidR="00000000" w:rsidDel="00000000" w:rsidP="00000000" w:rsidRDefault="00000000" w:rsidRPr="00000000" w14:paraId="00000015">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