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em0yl7wcpb7" w:id="0"/>
      <w:bookmarkEnd w:id="0"/>
      <w:r w:rsidDel="00000000" w:rsidR="00000000" w:rsidRPr="00000000">
        <w:rPr>
          <w:rFonts w:ascii="Arial Unicode MS" w:cs="Arial Unicode MS" w:eastAsia="Arial Unicode MS" w:hAnsi="Arial Unicode MS"/>
          <w:b w:val="1"/>
          <w:bCs w:val="1"/>
          <w:sz w:val="34"/>
          <w:szCs w:val="34"/>
          <w:rtl w:val="0"/>
        </w:rPr>
        <w:t xml:space="preserve">03_対ターゲット別バリュープロポジション比較表（AWSアーキテクチャ最適化版・改訂対応版）</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yf51c61v73y" w:id="1"/>
      <w:bookmarkEnd w:id="1"/>
      <w:r w:rsidDel="00000000" w:rsidR="00000000" w:rsidRPr="00000000">
        <w:rPr>
          <w:rFonts w:ascii="Arial Unicode MS" w:cs="Arial Unicode MS" w:eastAsia="Arial Unicode MS" w:hAnsi="Arial Unicode MS"/>
          <w:b w:val="1"/>
          <w:bCs w:val="1"/>
          <w:color w:val="000000"/>
          <w:sz w:val="26"/>
          <w:szCs w:val="26"/>
          <w:rtl w:val="0"/>
        </w:rPr>
        <w:t xml:space="preserve">■ 米国メガバンク（JPMorgan Chase等）／新興デジタル証券（Robinhood等）</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特有の課題 / 経営課題:</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若年層の過度な債務（BNPL破綻や投機的取引の損失）が社会問題化しており、親世代の「健全なクレジット教育と金融自立」への需要が高まっている。</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米国税務（IRS）のウォッシュセール規定（前後30日間の再買い戻しによる損失控除否認）が、個人投資家のTax-Loss Harvesting（節税運用）におけるリスクとなっている。</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提供価値（バリュープロポジション） / 実装ロジック:</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親子のインセンティブを合致させ、幼少期からの健全な資産形成・ポートフォリオ構築を実現するデファクトスタンダード・プラットフォームを提供。</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ウォッシュセール（30日ルール）自動検知・責任分解モジュール」を標準搭載。売買前後61日間のミクロ追跡を行い、損失確定時の否認リスクをリアルタイムで遮断。30日ルールを回避する代替ポートフォリオ（類似指数の別ETF等）を非同期提示し、損益通算効果を最大化する。</w:t>
      </w:r>
    </w:p>
    <w:p w:rsidR="00000000" w:rsidDel="00000000" w:rsidP="00000000" w:rsidRDefault="00000000" w:rsidRPr="00000000" w14:paraId="00000009">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金融機関との間で責任分解（SLA）を明確化し、証券会社のコンプライアンス・リーガルリスクを排除。</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mwnanwekw3cm" w:id="2"/>
      <w:bookmarkEnd w:id="2"/>
      <w:r w:rsidDel="00000000" w:rsidR="00000000" w:rsidRPr="00000000">
        <w:rPr>
          <w:rFonts w:ascii="Arial Unicode MS" w:cs="Arial Unicode MS" w:eastAsia="Arial Unicode MS" w:hAnsi="Arial Unicode MS"/>
          <w:b w:val="1"/>
          <w:bCs w:val="1"/>
          <w:color w:val="000000"/>
          <w:sz w:val="26"/>
          <w:szCs w:val="26"/>
          <w:rtl w:val="0"/>
        </w:rPr>
        <w:t xml:space="preserve">■ 金融庁（FSA）</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特有の課題 / 経営課題:</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高等学校における「金融経済教育」の義務化に伴い、教育現場における専門的な指導リソース不足が顕在化している。</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行政機関の性質上、特定の民間金融機関（ネット証券等）を優遇できないという中立性の制約条件が存在する。</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提供価値（バリュープロポジション） / 実装ロジック:</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特定の金融機関への誘導を行わない公明正大なシミュレーション環境（サンドボックス）を提供する。</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Amazon / AWS のニュートラルなテクノロジー基盤を活用し、行政が推進するNISA等の資産形成の理念を家庭内へ浸透させる。</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新NISA（つみたて・成長枠）の適正利用に加え、複雑化する損益通算・繰越控除、為替差益課税、さらに今後懸念されるミニマムタックス（最低30%課税等）などの税制変化に対応した中立的学習・シミュレーション環境を提供。行政が推奨するデジタル副読本として極めて堅牢なガバナンスと信頼性を担保する。</w:t>
      </w:r>
    </w:p>
    <w:p w:rsidR="00000000" w:rsidDel="00000000" w:rsidP="00000000" w:rsidRDefault="00000000" w:rsidRPr="00000000" w14:paraId="00000012">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万が一特定の金融機関に行政指導が下った際も、Amazon A2I などの仕組みを介して、セミオートで該当機関への動線を一時的に制御・制限できる。</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fyu3d9y4cmvg" w:id="3"/>
      <w:bookmarkEnd w:id="3"/>
      <w:r w:rsidDel="00000000" w:rsidR="00000000" w:rsidRPr="00000000">
        <w:rPr>
          <w:rFonts w:ascii="Arial Unicode MS" w:cs="Arial Unicode MS" w:eastAsia="Arial Unicode MS" w:hAnsi="Arial Unicode MS"/>
          <w:b w:val="1"/>
          <w:bCs w:val="1"/>
          <w:color w:val="000000"/>
          <w:sz w:val="26"/>
          <w:szCs w:val="26"/>
          <w:rtl w:val="0"/>
        </w:rPr>
        <w:t xml:space="preserve">■ 日本のネット証券（楽天・SBI等）</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特有の課題 / 経営課題:</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メイン顧客層（40〜50代）から投資に関心の薄い次世代（子供世代）へ資産が承継された際、口座解約および他行普通預金等への還流による大規模な「資産流出（チャーン）」が発生すること。</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外貨決済・乗り換え時の為替差益計算の煩雑さ、新NISA枠と特定/一般口座の使い分けの難しさ、損益通算・繰越控除の手間、ミニマムタックス適用による高額口座保有者の不満が取引阻害要因になっていること。</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提供価値（バリュープロポジション） / 実装ロジック:</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新規の若年層を個別に獲得する高いマーケティングコストをかけることなく、既存の優良顧客の次世代（子供）を囲い込む。</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日本の全口座区分（一般・特定［源泉あり/なし］・新NISA・こどもNISA）の自動振替・枠管理ロジックと、「損益通算＆3年繰越控除最適化エンジン」「ミニマムタックス対策シミュレーター」「為替差益自動計算エンジン」「米国株ウォッシュセール回避」を標準搭載。</w:t>
      </w:r>
    </w:p>
    <w:p w:rsidR="00000000" w:rsidDel="00000000" w:rsidP="00000000" w:rsidRDefault="00000000" w:rsidRPr="00000000" w14:paraId="0000001A">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複雑な税務管理や申告漏れリスクをゼロ化し、高額口座保有者の離脱を防ぐことで、資産残高（AUM）と取引高を最大化する長期的な『リテンション・アーキテクチャ』として機能する。</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v49bhn4ogd1d" w:id="4"/>
      <w:bookmarkEnd w:id="4"/>
      <w:r w:rsidDel="00000000" w:rsidR="00000000" w:rsidRPr="00000000">
        <w:rPr>
          <w:rFonts w:ascii="Arial Unicode MS" w:cs="Arial Unicode MS" w:eastAsia="Arial Unicode MS" w:hAnsi="Arial Unicode MS"/>
          <w:b w:val="1"/>
          <w:bCs w:val="1"/>
          <w:color w:val="000000"/>
          <w:sz w:val="26"/>
          <w:szCs w:val="26"/>
          <w:rtl w:val="0"/>
        </w:rPr>
        <w:t xml:space="preserve">■ 日本のメガバンク（信託・リテール）</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特有の課題 / 経営課題:</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高齢者層における膨大な預貯金が投資に回らない背景には、金融商品に対する心理的ハードル、親族間における「暦年贈与（110万円枠）」の手続き・管理の煩雑さ、税制改正（ミニマムタックス等）や外貨運用時の税務申告漏れトラブルへの懸念が存在する。</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提供価値（バリュープロポジション） / 実装ロジック:</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従来の『高齢者本人への投資勧誘』アプローチから脱却し、『孫・子供世代へのお小遣い・生前贈与のスマートなデジタル動線』として提案。</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年間110万円の非課税枠、こどもNISAから新NISAへの口座昇格動線、ミニマムタックス回避のための分散譲与・資産継承シミュレーションを自動提示。</w:t>
      </w:r>
    </w:p>
    <w:p w:rsidR="00000000" w:rsidDel="00000000" w:rsidP="00000000" w:rsidRDefault="00000000" w:rsidRPr="00000000" w14:paraId="00000021">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Guardrails for Amazon Bedrock および 2レイヤー・ホールド・ワークフローにより、複雑な税制やコンプライアンスリスクを自動制御し、窓口のコンサルティングコストを大幅削減しつつ、眠っている預金資産を次世代への投資原資へと安全に還流させる。</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