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b w:val="1"/>
          <w:bCs w:val="1"/>
        </w:rPr>
      </w:pPr>
      <w:bookmarkStart w:colFirst="0" w:colLast="0" w:name="_oexujrn9m10o" w:id="0"/>
      <w:bookmarkEnd w:id="0"/>
      <w:r w:rsidDel="00000000" w:rsidR="00000000" w:rsidRPr="00000000">
        <w:rPr>
          <w:rFonts w:ascii="Arial Unicode MS" w:cs="Arial Unicode MS" w:eastAsia="Arial Unicode MS" w:hAnsi="Arial Unicode MS"/>
          <w:b w:val="1"/>
          <w:bCs w:val="1"/>
          <w:rtl w:val="0"/>
        </w:rPr>
        <w:t xml:space="preserve">04_システムアーキテクチャ＆データライフサイクル解説書（AWSインフラ移行シナリオ仕様・改訂対応版）</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le98s9449541"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本資料の目的</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子供の成長（ライフステージ）に連動してシステムの権限やUI/UXがどのように動的に遷移するか、また、金融機関の既存システムとどのようにミニマムかつセキュアに連携するかを視覚的トポロジーを踏まえて技術・運用の両面から解説する。さらに、改訂第4版で完全実装された「日本型全口座区分別自動制御モジュール」、「ミニマムタックス対策シミュレーター」、「日本市場向け損益通算＆3年繰越控除最適化エンジン」、「最高裁判決対応・為替差益自動管理モジュール」、「米国ウォッシュセール制御モジュール」、および「レギュラトリー・ガバナンス・コンソール」のAWSアーキテクチャ統合処理について記述する。</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iv8m84onvzrs"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「データ重力とインフラ統合」システムトポロジー（2面構成と力学動線）</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システム構成は、金融機関側の既存環境への影響を最小限に抑えつつ、データ蓄積に伴う「データの重力（Data Gravity）」によって、将来的なAWS（Amazon Web Services）への全面リプレースへと導く力学構造（トポロジー）を設計している。</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【① ユーザー・フロント層（画面上部）】</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コンポーネント:</w:t>
      </w:r>
      <w:r w:rsidDel="00000000" w:rsidR="00000000" w:rsidRPr="00000000">
        <w:rPr>
          <w:rFonts w:ascii="Arial Unicode MS" w:cs="Arial Unicode MS" w:eastAsia="Arial Unicode MS" w:hAnsi="Arial Unicode MS"/>
          <w:rtl w:val="0"/>
        </w:rPr>
        <w:t xml:space="preserve"> 「親のスマホ」と「子供の端末（お小遣いライフログ入力）」</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負荷分散:</w:t>
      </w:r>
      <w:r w:rsidDel="00000000" w:rsidR="00000000" w:rsidRPr="00000000">
        <w:rPr>
          <w:rFonts w:ascii="Arial Unicode MS" w:cs="Arial Unicode MS" w:eastAsia="Arial Unicode MS" w:hAnsi="Arial Unicode MS"/>
          <w:rtl w:val="0"/>
        </w:rPr>
        <w:t xml:space="preserve"> イベント用フロントエンド（WebAssembly / AWS Amplify / AWS AppSync）により、全国規模のイベントによる集中トラフィック（バースト）をエッジ処理で効率的に吸収。確度の高いログのみを AWS 領域へ非同期リレーする。</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【② 現在の金融機関インフラ領域（画面左側：他社クラウド環境等）】</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コンポーネント:</w:t>
      </w:r>
      <w:r w:rsidDel="00000000" w:rsidR="00000000" w:rsidRPr="00000000">
        <w:rPr>
          <w:rFonts w:ascii="Arial Unicode MS" w:cs="Arial Unicode MS" w:eastAsia="Arial Unicode MS" w:hAnsi="Arial Unicode MS"/>
          <w:rtl w:val="0"/>
        </w:rPr>
        <w:t xml:space="preserve"> 「金融機関 既存基幹システム（預金・取引・顧客マスターデータ：UID）」</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データ連携:</w:t>
      </w:r>
      <w:r w:rsidDel="00000000" w:rsidR="00000000" w:rsidRPr="00000000">
        <w:rPr>
          <w:rFonts w:ascii="Arial Unicode MS" w:cs="Arial Unicode MS" w:eastAsia="Arial Unicode MS" w:hAnsi="Arial Unicode MS"/>
          <w:rtl w:val="0"/>
        </w:rPr>
        <w:t xml:space="preserve"> 基幹システムから右側のAWS領域へは、APIまたはショートURL経由による顧客データの「ミニマム連携（点線の細い矢印）」のみを行う。これにより、金融機関側の既存基幹にリアルタイムの過負荷を一切かけないトポロジーを死守する。</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【③ GWB駆動領域（画面右側：Amazon Web Services（AWS）環境）】</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コアコンポーネント:</w:t>
      </w:r>
      <w:r w:rsidDel="00000000" w:rsidR="00000000" w:rsidRPr="00000000">
        <w:rPr>
          <w:rFonts w:ascii="Arial Unicode MS" w:cs="Arial Unicode MS" w:eastAsia="Arial Unicode MS" w:hAnsi="Arial Unicode MS"/>
          <w:rtl w:val="0"/>
        </w:rPr>
        <w:t xml:space="preserve"> 「Amazon Bedrock」「Amazon Redshift」「Amazon DynamoDB」</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役割・視覚効果:</w:t>
      </w:r>
      <w:r w:rsidDel="00000000" w:rsidR="00000000" w:rsidRPr="00000000">
        <w:rPr>
          <w:rFonts w:ascii="Arial Unicode MS" w:cs="Arial Unicode MS" w:eastAsia="Arial Unicode MS" w:hAnsi="Arial Unicode MS"/>
          <w:rtl w:val="0"/>
        </w:rPr>
        <w:t xml:space="preserve"> ミニマム連携されたUIDを起点に、日々の行動ログ・資産シミュレーションデータを暗号化のうえセキュアに蓄積。収集されるデータは事前に非識別化（アノニマイズ）処理層（AWS Glue / Amazon Macie）を通過させる。</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ガードレール制御・レギュラトリー＆タックス対応:</w:t>
      </w:r>
    </w:p>
    <w:p w:rsidR="00000000" w:rsidDel="00000000" w:rsidP="00000000" w:rsidRDefault="00000000" w:rsidRPr="00000000" w14:paraId="00000010">
      <w:pPr>
        <w:numPr>
          <w:ilvl w:val="2"/>
          <w:numId w:val="2"/>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出力検閲ロック:</w:t>
      </w:r>
      <w:r w:rsidDel="00000000" w:rsidR="00000000" w:rsidRPr="00000000">
        <w:rPr>
          <w:rFonts w:ascii="Arial Unicode MS" w:cs="Arial Unicode MS" w:eastAsia="Arial Unicode MS" w:hAnsi="Arial Unicode MS"/>
          <w:rtl w:val="0"/>
        </w:rPr>
        <w:t xml:space="preserve"> Guardrails for Amazon Bedrock を活用し、特定個別銘柄の推奨や断定的利益の約束を吐き出させない物理ハード・ガードレールを実装。</w:t>
      </w:r>
    </w:p>
    <w:p w:rsidR="00000000" w:rsidDel="00000000" w:rsidP="00000000" w:rsidRDefault="00000000" w:rsidRPr="00000000" w14:paraId="00000011">
      <w:pPr>
        <w:numPr>
          <w:ilvl w:val="2"/>
          <w:numId w:val="2"/>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日本型全口座区分（一般・特定・新NISA・こどもNISA）制御:</w:t>
      </w:r>
      <w:r w:rsidDel="00000000" w:rsidR="00000000" w:rsidRPr="00000000">
        <w:rPr>
          <w:rFonts w:ascii="Arial Unicode MS" w:cs="Arial Unicode MS" w:eastAsia="Arial Unicode MS" w:hAnsi="Arial Unicode MS"/>
          <w:rtl w:val="0"/>
        </w:rPr>
        <w:t xml:space="preserve"> 新NISA枠（つみたて・成長）の消化追跡、特定口座（源泉あり/なし）の確定申告要否判定、こどもNISAの自動口座移行動線を制御。</w:t>
      </w:r>
    </w:p>
    <w:p w:rsidR="00000000" w:rsidDel="00000000" w:rsidP="00000000" w:rsidRDefault="00000000" w:rsidRPr="00000000" w14:paraId="00000012">
      <w:pPr>
        <w:numPr>
          <w:ilvl w:val="2"/>
          <w:numId w:val="2"/>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ミニマムタックス対策＆損益通算/3年繰越控除エンジン:</w:t>
      </w:r>
      <w:r w:rsidDel="00000000" w:rsidR="00000000" w:rsidRPr="00000000">
        <w:rPr>
          <w:rFonts w:ascii="Arial Unicode MS" w:cs="Arial Unicode MS" w:eastAsia="Arial Unicode MS" w:hAnsi="Arial Unicode MS"/>
          <w:rtl w:val="0"/>
        </w:rPr>
        <w:t xml:space="preserve"> 複数口座間の損益合算、3年間の損失繰越控除ログ追跡、利益確定時期の平準化による最低30%課税の回避シミュレーションを実行。</w:t>
      </w:r>
    </w:p>
    <w:p w:rsidR="00000000" w:rsidDel="00000000" w:rsidP="00000000" w:rsidRDefault="00000000" w:rsidRPr="00000000" w14:paraId="00000013">
      <w:pPr>
        <w:numPr>
          <w:ilvl w:val="2"/>
          <w:numId w:val="2"/>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米株ウォッシュセール自動検知・責任分解エンジン:</w:t>
      </w:r>
      <w:r w:rsidDel="00000000" w:rsidR="00000000" w:rsidRPr="00000000">
        <w:rPr>
          <w:rFonts w:ascii="Arial Unicode MS" w:cs="Arial Unicode MS" w:eastAsia="Arial Unicode MS" w:hAnsi="Arial Unicode MS"/>
          <w:rtl w:val="0"/>
        </w:rPr>
        <w:t xml:space="preserve"> 前後61日間の同一・同種銘柄トランザクションをミクロ追跡。30日以内の再買い戻しによる損失控除否認リスクを検知・プロテクトし、類似指数の別ETF等へのスイッチング案を非同期提示。金融機関とのSLA責任分解を完結。</w:t>
      </w:r>
    </w:p>
    <w:p w:rsidR="00000000" w:rsidDel="00000000" w:rsidP="00000000" w:rsidRDefault="00000000" w:rsidRPr="00000000" w14:paraId="00000014">
      <w:pPr>
        <w:numPr>
          <w:ilvl w:val="2"/>
          <w:numId w:val="2"/>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暦年贈与ハードロック（110万円枠）:</w:t>
      </w:r>
      <w:r w:rsidDel="00000000" w:rsidR="00000000" w:rsidRPr="00000000">
        <w:rPr>
          <w:rFonts w:ascii="Arial Unicode MS" w:cs="Arial Unicode MS" w:eastAsia="Arial Unicode MS" w:hAnsi="Arial Unicode MS"/>
          <w:rtl w:val="0"/>
        </w:rPr>
        <w:t xml:space="preserve"> Amazon DynamoDB に境界値をハードコードし、年間累積投資額100万円での事前通知、110万円突破時の自動ホールド処理を厳密制御。</w:t>
      </w:r>
    </w:p>
    <w:p w:rsidR="00000000" w:rsidDel="00000000" w:rsidP="00000000" w:rsidRDefault="00000000" w:rsidRPr="00000000" w14:paraId="00000015">
      <w:pPr>
        <w:numPr>
          <w:ilvl w:val="2"/>
          <w:numId w:val="2"/>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為替差益自動計算エンジン（最高裁判決対応）:</w:t>
      </w:r>
      <w:r w:rsidDel="00000000" w:rsidR="00000000" w:rsidRPr="00000000">
        <w:rPr>
          <w:rFonts w:ascii="Arial Unicode MS" w:cs="Arial Unicode MS" w:eastAsia="Arial Unicode MS" w:hAnsi="Arial Unicode MS"/>
          <w:rtl w:val="0"/>
        </w:rPr>
        <w:t xml:space="preserve"> ドル建て資産（米株・外貨NISA等）の積立・乗り換え時に発生する平均取得単価（移動平均法／総平均法）をバックエンドでミリ秒単位で更新・維持。雑所得が確定申告ライン（20万円）に接近した段階で事前アラートを発動し、確定申告用サポートデータ（CSV/PDF）を自動生成。</w:t>
      </w:r>
    </w:p>
    <w:p w:rsidR="00000000" w:rsidDel="00000000" w:rsidP="00000000" w:rsidRDefault="00000000" w:rsidRPr="00000000" w14:paraId="00000016">
      <w:pPr>
        <w:numPr>
          <w:ilvl w:val="2"/>
          <w:numId w:val="2"/>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レギュラトリー・リスク・ゲートウェイ（2レイヤー・ホールド）:</w:t>
      </w:r>
      <w:r w:rsidDel="00000000" w:rsidR="00000000" w:rsidRPr="00000000">
        <w:rPr>
          <w:rFonts w:ascii="Arial Unicode MS" w:cs="Arial Unicode MS" w:eastAsia="Arial Unicode MS" w:hAnsi="Arial Unicode MS"/>
          <w:rtl w:val="0"/>
        </w:rPr>
        <w:t xml:space="preserve"> 外部データソースをリアルタイムクローリング（AWS Glue / Amazon EventBridge）し、マクロリスクや税制改正（ミニマムタックス等）を検知した場合、該当シミュレーション動線を自動的に「保留（Pending）」状態に設定。Amazon Augmented AI（Amazon A2I）に基づき、管理者の承認を経て初めて「取引制限」や「警告ポップアップ」をフロントエンドに発動させる。また、管理者コンソール上のスイッチにより、リスクカテゴリごとのON/OFF一括制御が可能。</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【④ クラウド間を繋ぐ「統合シナジーを示す太い矢印」（TCO削減の動線）】</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力学ロジック:</w:t>
      </w:r>
      <w:r w:rsidDel="00000000" w:rsidR="00000000" w:rsidRPr="00000000">
        <w:rPr>
          <w:rFonts w:ascii="Arial Unicode MS" w:cs="Arial Unicode MS" w:eastAsia="Arial Unicode MS" w:hAnsi="Arial Unicode MS"/>
          <w:rtl w:val="0"/>
        </w:rPr>
        <w:t xml:space="preserve"> データ重力場（右側AWS）が大きくなるにつれ、左側の他社クラウド環境との間で「環境跨ぎのデータ転送コスト（Egress料金）の肥大化」および「マルチクラウド間の通信遅延」が経営課題として顕在化する。</w:t>
      </w:r>
    </w:p>
    <w:p w:rsidR="00000000" w:rsidDel="00000000" w:rsidP="00000000" w:rsidRDefault="00000000" w:rsidRPr="00000000" w14:paraId="00000019">
      <w:pPr>
        <w:numPr>
          <w:ilvl w:val="1"/>
          <w:numId w:val="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最終結論（ROI）:</w:t>
      </w:r>
      <w:r w:rsidDel="00000000" w:rsidR="00000000" w:rsidRPr="00000000">
        <w:rPr>
          <w:rFonts w:ascii="Arial Unicode MS" w:cs="Arial Unicode MS" w:eastAsia="Arial Unicode MS" w:hAnsi="Arial Unicode MS"/>
          <w:rtl w:val="0"/>
        </w:rPr>
        <w:t xml:space="preserve"> フロント動線は金融庁準拠の『オープン・プロバイダー・プロトコル（マルチ・ブローカー・プラットフォーム）』で完全中立を保つが、インフラ自体のボトルネックの解決策として、基幹データおよび取引システムを AWS へ統合・リプレース（およびEDP契約締結）する動線を経営陣に提示。「インフラTCOを大幅に削減し、AWS上のデータレイク連携によりAI解析速度を劇的に高速化」する最適化の力学を成立させる。</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aymwa2uu5ckf" w:id="3"/>
      <w:bookmarkEnd w:id="3"/>
      <w:r w:rsidDel="00000000" w:rsidR="00000000" w:rsidRPr="00000000">
        <w:rPr>
          <w:rFonts w:ascii="Arial Unicode MS" w:cs="Arial Unicode MS" w:eastAsia="Arial Unicode MS" w:hAnsi="Arial Unicode MS"/>
          <w:b w:val="1"/>
          <w:bCs w:val="1"/>
          <w:color w:val="000000"/>
          <w:sz w:val="26"/>
          <w:szCs w:val="26"/>
          <w:rtl w:val="0"/>
        </w:rPr>
        <w:t xml:space="preserve">3. 子供向け：ライフステージ連動型権限移行（パーミッション・ライフサイクル）</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子供の成長ステージに合わせて、システム内の権限とUI/UXの「デザイン・トーン」を動的に遷移させる。</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ステップ1：サンドボックス環境:</w:t>
      </w:r>
      <w:r w:rsidDel="00000000" w:rsidR="00000000" w:rsidRPr="00000000">
        <w:rPr>
          <w:rFonts w:ascii="Arial Unicode MS" w:cs="Arial Unicode MS" w:eastAsia="Arial Unicode MS" w:hAnsi="Arial Unicode MS"/>
          <w:rtl w:val="0"/>
        </w:rPr>
        <w:t xml:space="preserve"> 完全に法的なリスクを排除した「仮想空間（お小遣い帳・擬似運用環境）」でのシミュレーション。親は閲覧のみ可能、UIはポップなキャラクター型。</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ステップ2：少額取引申請・保護者承認ゲート:</w:t>
      </w:r>
      <w:r w:rsidDel="00000000" w:rsidR="00000000" w:rsidRPr="00000000">
        <w:rPr>
          <w:rFonts w:ascii="Arial Unicode MS" w:cs="Arial Unicode MS" w:eastAsia="Arial Unicode MS" w:hAnsi="Arial Unicode MS"/>
          <w:rtl w:val="0"/>
        </w:rPr>
        <w:t xml:space="preserve"> 子供がリアルな少額投資（単元未満株、米株 fractional shares 等）の実行ボタンを押すと、親コンソールに「承認リクエスト」が飛ぶワークフローを AWS Step Functions によりサーバーレスで実装（親が承認して初めて実際のトランザクションが成立）。米国株取引時はバックエンドでウォッシュセール30日ルールチェックが自動発動。</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ステップ3：権限完全移行とリーガルデータ昇格:</w:t>
      </w:r>
      <w:r w:rsidDel="00000000" w:rsidR="00000000" w:rsidRPr="00000000">
        <w:rPr>
          <w:rFonts w:ascii="Arial Unicode MS" w:cs="Arial Unicode MS" w:eastAsia="Arial Unicode MS" w:hAnsi="Arial Unicode MS"/>
          <w:rtl w:val="0"/>
        </w:rPr>
        <w:t xml:space="preserve"> 成人（18歳）、あるいは一定の習熟度に達した段階で、口座の管理権限を子供へ完全移行。こどもNISAから新NISA・特定口座への自動昇格・移行動線を起動。UI/UXは信頼感を与える「権威型UI（伝統的バンク風）」または並走型の「FP（パートナー型）UI」へと自動移行する。バックエンドでは、サンドボックスのシミュレーションデータを実口座のリーガルデータへと安全に昇格（プロモート）させるセキュアなデータパイプラインを起動（GDPR/段階的本人確認: KYCおよび Amazon Cognito のユーザープール権限移行と連動）。</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