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b w:val="1"/>
          <w:bCs w:val="1"/>
        </w:rPr>
      </w:pPr>
      <w:bookmarkStart w:colFirst="0" w:colLast="0" w:name="_i3lngews5x44" w:id="0"/>
      <w:bookmarkEnd w:id="0"/>
      <w:r w:rsidDel="00000000" w:rsidR="00000000" w:rsidRPr="00000000">
        <w:rPr>
          <w:rFonts w:ascii="Arial Unicode MS" w:cs="Arial Unicode MS" w:eastAsia="Arial Unicode MS" w:hAnsi="Arial Unicode MS"/>
          <w:b w:val="1"/>
          <w:bCs w:val="1"/>
          <w:rtl w:val="0"/>
        </w:rPr>
        <w:t xml:space="preserve">08_想定質疑応答（Q&amp;A）（AWSインフラ防衛・ガバナンス仕様・改訂対応版）</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nihe4ouwmyg" w:id="1"/>
      <w:bookmarkEnd w:id="1"/>
      <w:r w:rsidDel="00000000" w:rsidR="00000000" w:rsidRPr="00000000">
        <w:rPr>
          <w:rFonts w:ascii="Arial Unicode MS" w:cs="Arial Unicode MS" w:eastAsia="Arial Unicode MS" w:hAnsi="Arial Unicode MS"/>
          <w:b w:val="1"/>
          <w:bCs w:val="1"/>
          <w:color w:val="000000"/>
          <w:sz w:val="22"/>
          <w:szCs w:val="22"/>
          <w:rtl w:val="0"/>
        </w:rPr>
        <w:t xml:space="preserve">1. 本資料の目的</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プレゼンテーション後の質疑応答において、自社（AWS）および提携金融機関の経営幹部（CEO/CFO/リーガルリスク管理委員会）から投げかけられる可能性が高い質問に対するベストな回答ロジック（模範解答）を事前に共有し、プロジェクトの承認獲得を確実にする。</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ayvrkht8h89t" w:id="2"/>
      <w:bookmarkEnd w:id="2"/>
      <w:r w:rsidDel="00000000" w:rsidR="00000000" w:rsidRPr="00000000">
        <w:rPr>
          <w:rFonts w:ascii="Arial Unicode MS" w:cs="Arial Unicode MS" w:eastAsia="Arial Unicode MS" w:hAnsi="Arial Unicode MS"/>
          <w:b w:val="1"/>
          <w:bCs w:val="1"/>
          <w:color w:val="000000"/>
          <w:sz w:val="22"/>
          <w:szCs w:val="22"/>
          <w:rtl w:val="0"/>
        </w:rPr>
        <w:t xml:space="preserve">2. 想定質問と模範回答</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質問1：なぜ、ライセンスや直接の収益（ライセンス料）を生まない「体験型デジタルサンドボックス環境（GWB）」を、金融機関に対して完全に無料で提供するのか？このフリーミアム戦略の本当の狙いと回収モデルは？】</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模範回答:</w:t>
      </w:r>
      <w:r w:rsidDel="00000000" w:rsidR="00000000" w:rsidRPr="00000000">
        <w:rPr>
          <w:rFonts w:ascii="Arial Unicode MS" w:cs="Arial Unicode MS" w:eastAsia="Arial Unicode MS" w:hAnsi="Arial Unicode MS"/>
          <w:rtl w:val="0"/>
        </w:rPr>
        <w:t xml:space="preserve"> 「本プラットフォームは、競合（GCP/Azure）から高価値な金融インフラ契約（AWSへのリプレース）を勝ち取るための戦略的な『ドアオープナー（損失先導型プロダクト）』です。 フロントUIのライセンス料を無料（利益率ゼロ）にすることで、金融機関の導入ハードルをゼロにし、地方自治体や教育現場（高校）に急速に浸透させます。私たちのコアマネタイズは、フロントの利用料ではなく、日々のライフログや資産シミュレーションデータが蓄積されることによって発生する、ダウンストリーム（下流）のAWSインフラ利用料（Amazon Redshift や Amazon Bedrock のコンピュート料金）にあります。 データが溜まるほどに『データの重力（Data Gravity）』の力学が働き、他社クラウドとの環境跨ぎのデータ転送コスト（Egress料金）が跳ね上がります。最終的に金融機関側がコアインフラを AWS へ一元統合せざるを得ない構造を作ることで、インフラ移行支援プログラム（AWS MAP）を投入し、移行後の巨大なストック収益（AWS EDP：大口包括割引契約）として、移行後3ヶ月で投資対効果（ROI）を回収します。」</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質問2：AIによる特定銘柄の推奨（投資助言規制違反）や、生前贈与シミュレーションでの意図せぬ贈与税発生・為替差益の申告漏れ・新NISAや特定口座の誤認・税制改正（ミニマムタックス等）に伴うエラーなど、利用者や行政から苦情・訴訟リスクが発生した場合、当社（Amazon / AWS）の責任問題はどうなるのか？】</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模範回答:</w:t>
      </w:r>
      <w:r w:rsidDel="00000000" w:rsidR="00000000" w:rsidRPr="00000000">
        <w:rPr>
          <w:rFonts w:ascii="Arial Unicode MS" w:cs="Arial Unicode MS" w:eastAsia="Arial Unicode MS" w:hAnsi="Arial Unicode MS"/>
          <w:rtl w:val="0"/>
        </w:rPr>
        <w:t xml:space="preserve"> 「それらの法的・税務的リスクは、システムレイヤーにおいて物理的ガードレール（ロック）をかけることで完全にカプセル化（隔離）しています。 第1に、金融商品取引法（投資助言）への対策として、Guardrails for Amazon Bedrock を活用し、AIのアウトプット層に『特定個別銘柄の推奨』や『断定的利益の約束』を絶対に吐き出させない『物理的なハード・ガードレール（出力検閲ロック）』を完全実装しています。 第2に、日本の贈与税法への対策として、年間110万円の基礎控除額を絶対境界値（ハードバウンダリ）として高信頼性データベースである Amazon DynamoDB にハードコードしています。累積投資額が100万円に達した時点で『税制上の上限接近』をスマート通知し、110万円を突破するトランザクションはシステム側で自動ホールド（物理ロック）し、金融機関の税務コンサルティング動線へ最適ルーティングします。 第3に、日本の全口座区分（新NISA/特定/一般/こどもNISA）の完全制御および最高裁判決に対応した為替差益課税対策・損益通算/3年繰越控除エンジン・ミニマムタックス平準化シミュレーターを備え、複雑な税務計算をバックエンドで全自動判定・算出。確定申告サポートデータをワンクリック出力する仕組みを備えています。 さらに、AIのハルシネーション等の不可抗力リスクも含め、全ての最終的な法的責任や利用規約上の免責事項は、フロントに立つ金融機関の既存の免責・コンプライアンスレイヤーに完全に準拠・結合させるため、当社へ直接的なリーガルリスクが及ぶことはありません。」</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【質問3：中立性を隠れ蓑にしたインフラ一元統合（AWSリプレース）が本音であるとリークした場合、当局の信頼を失うのではないか？】</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模範回答:</w:t>
      </w:r>
      <w:r w:rsidDel="00000000" w:rsidR="00000000" w:rsidRPr="00000000">
        <w:rPr>
          <w:rFonts w:ascii="Arial Unicode MS" w:cs="Arial Unicode MS" w:eastAsia="Arial Unicode MS" w:hAnsi="Arial Unicode MS"/>
          <w:rtl w:val="0"/>
        </w:rPr>
        <w:t xml:space="preserve"> 「そのリスクはプロジェクト展開における最重要ガバナンス項目です。現場の営業が移行を法的義務や導入条件とすることは厳禁とし、あくまで『AIのリアルタイム解析性能を100%発揮し、TCO（総所有コスト）を最適化するための技術的な推奨インフラがAWSである』という、純粋な技術的・経済的ROI（移行後3ヶ月での回収シミュレーション）に基づく提案を徹底します。 また、金融庁や行政に対する中立性を100%厳守するため、実際の口座開設フォームへリダイレクトするフロント動線は、特定の1社に固定せず、金融庁の『認可業者リスト（ホワイトリスト）』から客観的に複数選択肢を提示する『オープン・プロバイダー・プロトコル（マルチ・ブローカー・プラットフォーム）』をシステム実装します。 結果として、同一AWSリージョン内での低遅延データ連携（極小レイテンシー）や高度なセキュリティ連携（AWS IAM 等）といった、金融機関側およびエンドユーザー側の実質的なメリット（快適性と安全性）を背景とした合理的なインセンティブ構造を設計することで、金融機関が自発的に最適なインフラとして AWS への一元統合を選択する環境を構築します。プロジェクト承認後24時間以内に全営業への徹底ブリーフィングと遵守誓約書の提出を義務付け、ガバナンスを完全統制します。」</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質問4：『データの重力』を使って他社クラウドからインフラを奪取する戦略は合理的だが、営業現場が勇み足になって金融機関に対し『無料にする代わりに現在のGCP（またはAzure）を解約してAWSに乗り換えてください』と条件提示したり、当局へのカモフラージュであるという本音がリークした場合、独占禁止法違反や実証実験（PoC）の取り消し処分という致命的な経営危機を招くのではないか？現場の統制はどうなっている？】</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模範回答:</w:t>
      </w:r>
      <w:r w:rsidDel="00000000" w:rsidR="00000000" w:rsidRPr="00000000">
        <w:rPr>
          <w:rFonts w:ascii="Arial Unicode MS" w:cs="Arial Unicode MS" w:eastAsia="Arial Unicode MS" w:hAnsi="Arial Unicode MS"/>
          <w:rtl w:val="0"/>
        </w:rPr>
        <w:t xml:space="preserve"> 「そのリスクはプロジェクト展開における最重要ガバナンス項目です。現場の営業が移行を法的義務（条件）とすることは厳禁とし、あくまで『AIのリアルタイム解析性能を100%発揮するための技術的な推奨インフラがAWSである』という、純粋な技術的・コスト最適化提案の形をとるよう『営業・BizDev向けNGワード集・言い換えマニュアル』を徹底します。 また、金融庁や行政に対する中立性を100%厳守するため、実際の口座開設フォームへリダイレクトするフロント動線は、特定の1社に固定せず、金融庁の『認可業者リスト（ホワイトリスト）』から客観的に複数選択肢を提示する『オープン・プロバイダー・プロトコル（マルチ・ブローカー・プラットフォーム）』をシステム実装します。 結果として蓄積されるデータによる通信遅延の解消（極小レイテンシー）や高度なセキュリティ連携といった『技術的バックエンドの優位性』というメリットのみを武器にして、金融機関が自発的に AWS への一元統合を選ぶように仕掛けます。プロジェクト承認後24時間以内に全営業への徹底ブリーフィングと遵守誓約書の提出を義務付け、ガバナンスを完全統制します。」</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質問5：無料ツール（GWB）をフックに他社クラウドからシェアを奪う戦略は、米国反トラスト法（シャーマン法第2条：排除的行為・抱き合わせ）や日本の独占禁止法上、海外の競合（GCP/Azure）から不当排除で訴訟を起こされるリスクはないか？グローバルリーガルとしての見解（法的防衛エビデンス）は？】</w:t>
      </w:r>
    </w:p>
    <w:p w:rsidR="00000000" w:rsidDel="00000000" w:rsidP="00000000" w:rsidRDefault="00000000" w:rsidRPr="00000000" w14:paraId="0000000E">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模範回答:</w:t>
      </w:r>
      <w:r w:rsidDel="00000000" w:rsidR="00000000" w:rsidRPr="00000000">
        <w:rPr>
          <w:rFonts w:ascii="Arial Unicode MS" w:cs="Arial Unicode MS" w:eastAsia="Arial Unicode MS" w:hAnsi="Arial Unicode MS"/>
          <w:rtl w:val="0"/>
        </w:rPr>
        <w:t xml:space="preserve"> 「結論から申し上げますと、訴訟の法的根拠は事前かつ構造的に完全に消滅（カプセル化）されています。米国本社法務（US Legal）および反トラスト・コンプライアンス班との検証に基づき、防衛の柱は2点あります。 第1に、本システムは契約条件として他社クラウドの解約を義務付けていません。ホワイトリストにあるすべての金融機関が標準プロトコルで接続できる環境を維持しているため、法的な『抱き合わせ（Tying）』や『取引拒絶』の構成要件には一切該当しません。 第2に、フロントのUIは前述の『オープン・プロバイダー・プロトコル』により完全な客観的中立表示を行います。さらに、万が一特定の金融機関に行政指導（業務停止命令等）が下ったり、対象銘柄の上場廃止・経済制裁・税制判例変更（ミニマムタックス等）等のリスク因子をリアルタイムクローリングで検知した際には、コンプライアンス担当者の承認を経てホワイトリストから一時的にセミオートで除外・非表示（Pending処理）にする制御ロジック（Amazon Augmented AI: A2I による2レイヤー・ホールド・ワークフロー）を組み込んでおり、ガバナンスの堅牢性を担保しています。 これらは正当な『技術の質的向上に伴う競争（Competition on the merits）』と定義されるため、競合が法的手段に訴えることは不可能です。US Legalからも、第1期（米国PoC：メガバンクやRobinhood等×SEC FINRA規制対応）および第2期（日本市場モデル：全口座区分・税制最適化対応）を推進する承認を正式に得ています。」</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