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rPr>
      </w:pPr>
      <w:bookmarkStart w:colFirst="0" w:colLast="0" w:name="_6ik8wdz537e8" w:id="0"/>
      <w:bookmarkEnd w:id="0"/>
      <w:r w:rsidDel="00000000" w:rsidR="00000000" w:rsidRPr="00000000">
        <w:rPr>
          <w:rFonts w:ascii="Arial Unicode MS" w:cs="Arial Unicode MS" w:eastAsia="Arial Unicode MS" w:hAnsi="Arial Unicode MS"/>
          <w:b w:val="1"/>
          <w:bCs w:val="1"/>
          <w:rtl w:val="0"/>
        </w:rPr>
        <w:t xml:space="preserve">09_事業計画の査察・防衛ロジック（改訂第2版・ガバナンス強化仕様準拠対応版）</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4jbritne7j3v" w:id="1"/>
      <w:bookmarkEnd w:id="1"/>
      <w:r w:rsidDel="00000000" w:rsidR="00000000" w:rsidRPr="00000000">
        <w:rPr>
          <w:rFonts w:ascii="Arial Unicode MS" w:cs="Arial Unicode MS" w:eastAsia="Arial Unicode MS" w:hAnsi="Arial Unicode MS"/>
          <w:b w:val="1"/>
          <w:bCs w:val="1"/>
          <w:color w:val="000000"/>
          <w:sz w:val="22"/>
          <w:szCs w:val="22"/>
          <w:rtl w:val="0"/>
        </w:rPr>
        <w:t xml:space="preserve">1. 「無償提供」に対するCFOの懸念</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初期投資5,000万円＋年間維持費1,000万円を「利益率ゼロ」で配れば大赤字になるのでは？</w:t>
      </w:r>
    </w:p>
    <w:p w:rsidR="00000000" w:rsidDel="00000000" w:rsidP="00000000" w:rsidRDefault="00000000" w:rsidRPr="00000000" w14:paraId="00000004">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r w:rsidDel="00000000" w:rsidR="00000000" w:rsidRPr="00000000">
        <w:rPr>
          <w:rFonts w:ascii="Arial Unicode MS" w:cs="Arial Unicode MS" w:eastAsia="Arial Unicode MS" w:hAnsi="Arial Unicode MS"/>
          <w:rtl w:val="0"/>
        </w:rPr>
        <w:t xml:space="preserve"> 本質はアプリの無償配布ではなく「データ重力（Data Gravity）によるインフラの強制リプレース戦略」である。顧客データがAWS（Amazon Redshift）に蓄積されるほど、他社クラウド（GCP等）との通信費（Egress料金 / データ転送量課金）が跳ね上がり、金融機関は「基幹システムごとAWSへ移行した方が安い（インフラコスト最大30%削減、AI解析処理5倍高速化）」という経営判断（ROI：移行後3ヶ月で回収）に自ら至る。</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z7bs9exu30w0" w:id="2"/>
      <w:bookmarkEnd w:id="2"/>
      <w:r w:rsidDel="00000000" w:rsidR="00000000" w:rsidRPr="00000000">
        <w:rPr>
          <w:rFonts w:ascii="Arial Unicode MS" w:cs="Arial Unicode MS" w:eastAsia="Arial Unicode MS" w:hAnsi="Arial Unicode MS"/>
          <w:b w:val="1"/>
          <w:bCs w:val="1"/>
          <w:color w:val="000000"/>
          <w:sz w:val="22"/>
          <w:szCs w:val="22"/>
          <w:rtl w:val="0"/>
        </w:rPr>
        <w:t xml:space="preserve">2. 「中立性」に対する金融庁・リーガル面の突っ込み</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特定のネット証券やメガバンクに利益誘導するシステムは、行政の中立性の壁や独占禁止法・反トラスト法に阻まれるのでは？</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r w:rsidDel="00000000" w:rsidR="00000000" w:rsidRPr="00000000">
        <w:rPr>
          <w:rFonts w:ascii="Arial Unicode MS" w:cs="Arial Unicode MS" w:eastAsia="Arial Unicode MS" w:hAnsi="Arial Unicode MS"/>
          <w:rtl w:val="0"/>
        </w:rPr>
        <w:t xml:space="preserve"> 「オープン・プロバイダー・プロトコル（マルチ・ブローカー・プラットフォーム）」をシステム実装。実際の口座開設フォームへ遷移する動線は特定の1社に固定せず、金融庁のホワイトリスト（認可業者リスト）に基づく複数選択制（中立）を維持する。ただし、バックエンドでAWSを採用している金融機関に対してのみ、データ連携速度の向上（極小レイテンシー）や高度なセキュリティ連携という「技術的バックエンドの優位性」を最大化させることで、エンドユーザーに実質的な快適性と安全性のメリットを提供し、合法的かつ自然に選好される設計とする。</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ueg7z4vmnkr" w:id="3"/>
      <w:bookmarkEnd w:id="3"/>
      <w:r w:rsidDel="00000000" w:rsidR="00000000" w:rsidRPr="00000000">
        <w:rPr>
          <w:rFonts w:ascii="Arial Unicode MS" w:cs="Arial Unicode MS" w:eastAsia="Arial Unicode MS" w:hAnsi="Arial Unicode MS"/>
          <w:b w:val="1"/>
          <w:bCs w:val="1"/>
          <w:color w:val="000000"/>
          <w:sz w:val="22"/>
          <w:szCs w:val="22"/>
          <w:rtl w:val="0"/>
        </w:rPr>
        <w:t xml:space="preserve">3. 「バーストトラフィック」に対するCIOのインフラ懸念</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イベント時のバーストトラフィックによるサーバーインフラのコスト高騰、基幹への負荷連動は？</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r w:rsidDel="00000000" w:rsidR="00000000" w:rsidRPr="00000000">
        <w:rPr>
          <w:rFonts w:ascii="Arial Unicode MS" w:cs="Arial Unicode MS" w:eastAsia="Arial Unicode MS" w:hAnsi="Arial Unicode MS"/>
          <w:rtl w:val="0"/>
        </w:rPr>
        <w:t xml:space="preserve"> フロントエンド（WebAssembly / AWS Amplify）による「エッジ処理」を徹底。シミュレーションロジックをWasm化してブラウザ（エッジ）側で完全分散処理させるため、中央サーバーの計算負荷およびインフラコストを最小化できる。金融機関側の既存基幹システム（預金・取引・顧客マスターデータ）へは、確度の高いログのみを非同期でリレー（非同期リレー）し、リアルタイムの過負荷を一切かけないトポロジーを死守する。</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gl2prbte1glh" w:id="4"/>
      <w:bookmarkEnd w:id="4"/>
      <w:r w:rsidDel="00000000" w:rsidR="00000000" w:rsidRPr="00000000">
        <w:rPr>
          <w:rFonts w:ascii="Arial Unicode MS" w:cs="Arial Unicode MS" w:eastAsia="Arial Unicode MS" w:hAnsi="Arial Unicode MS"/>
          <w:b w:val="1"/>
          <w:bCs w:val="1"/>
          <w:color w:val="000000"/>
          <w:sz w:val="22"/>
          <w:szCs w:val="22"/>
          <w:rtl w:val="0"/>
        </w:rPr>
        <w:t xml:space="preserve">4. マクロリスク発生時におけるガバナンスの突っ込み</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提携金融機関が行政指導（業務停止命令等）を受けたり、対象銘柄に上場廃止や経済制裁、あるいは最高裁判決や税制改正（ミニマムタックス等）による仕様変更などのマクロリスクが発生した場合、AIが誤った推奨や計算を続けて致命的なコンプライアンス違反を招くのでは？</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r w:rsidDel="00000000" w:rsidR="00000000" w:rsidRPr="00000000">
        <w:rPr>
          <w:rFonts w:ascii="Arial Unicode MS" w:cs="Arial Unicode MS" w:eastAsia="Arial Unicode MS" w:hAnsi="Arial Unicode MS"/>
          <w:rtl w:val="0"/>
        </w:rPr>
        <w:t xml:space="preserve"> 「レギュラトリー・リスク・ゲートウェイ」による可変型ガードレールを構築。外部のレギュラトリー・データソースや判例・税制変更情報をリアルタイムにクローリングし、リスク因子を検知した場合は自動遮断ではなく、リスクシグナルを「ステージング（保留）状態」として捕捉。金融機関側の意思決定（人間のチェック・承認）を介在させるセミオート動線（2レイヤー・ホールド・ワークフロー）により、不測の事態にも確実なガバナンス統制を行う。コンプライアンス担当者の承認を経て、ホワイトリストからの非表示や注意ポップアップ等のUI制御を実装済み。</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lvs8fz18aj2i" w:id="5"/>
      <w:bookmarkEnd w:id="5"/>
      <w:r w:rsidDel="00000000" w:rsidR="00000000" w:rsidRPr="00000000">
        <w:rPr>
          <w:rFonts w:ascii="Arial Unicode MS" w:cs="Arial Unicode MS" w:eastAsia="Arial Unicode MS" w:hAnsi="Arial Unicode MS"/>
          <w:b w:val="1"/>
          <w:bCs w:val="1"/>
          <w:color w:val="000000"/>
          <w:sz w:val="22"/>
          <w:szCs w:val="22"/>
          <w:rtl w:val="0"/>
        </w:rPr>
        <w:t xml:space="preserve">5. 【追加】為替差益課税・全口座区分・日本型税制最適化に対する税務ガバナンスの突っ込み</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懸念:</w:t>
      </w:r>
      <w:r w:rsidDel="00000000" w:rsidR="00000000" w:rsidRPr="00000000">
        <w:rPr>
          <w:rFonts w:ascii="Arial Unicode MS" w:cs="Arial Unicode MS" w:eastAsia="Arial Unicode MS" w:hAnsi="Arial Unicode MS"/>
          <w:rtl w:val="0"/>
        </w:rPr>
        <w:t xml:space="preserve"> 米株や外貨建てNISA等の積立・乗り換え時の「為替差益」、ならびに新NISA/特定/一般/こどもNISAが混在する中での口座間資産配置や、ミニマムタックス（最低30%課税）・損益通算の計算が極限まで煩雑化し、申告漏れや顧客からのトラブルが急増するのでは？</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回答:</w:t>
      </w:r>
      <w:r w:rsidDel="00000000" w:rsidR="00000000" w:rsidRPr="00000000">
        <w:rPr>
          <w:rFonts w:ascii="Arial Unicode MS" w:cs="Arial Unicode MS" w:eastAsia="Arial Unicode MS" w:hAnsi="Arial Unicode MS"/>
          <w:rtl w:val="0"/>
        </w:rPr>
        <w:t xml:space="preserve"> 改訂第4版仕様として「全口座区分自動制御モジュール」「ミニマムタックス対策シミュレーター」「日本型損益通算＆3年繰越控除エンジン」「為替差益自動管理モジュール」を標準搭載。移動平均法/総平均法による取得単価更新、雑所得20万円接近アラート、複数口座間の損益相殺、損失繰越ログ追跡、税率平準化シミュレーションをミリ秒単位でバックエンド自動維持。確定申告サポートデータ（CSV/PDF）をワンクリック生成することで顧客の申告漏れリスクと金融機関の問い合わせ対応コストをゼロ化する。</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