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va1l9elwogk" w:id="0"/>
      <w:bookmarkEnd w:id="0"/>
      <w:r w:rsidDel="00000000" w:rsidR="00000000" w:rsidRPr="00000000">
        <w:rPr>
          <w:rFonts w:ascii="Arial Unicode MS" w:cs="Arial Unicode MS" w:eastAsia="Arial Unicode MS" w:hAnsi="Arial Unicode MS"/>
          <w:b w:val="1"/>
          <w:bCs w:val="1"/>
          <w:rtl w:val="0"/>
        </w:rPr>
        <w:t xml:space="preserve">11_金融機関 経営幹部（CEO/CFO）向け 協業メリット提案書（ガバナンス強化仕様・改訂第4版対応版）</w:t>
      </w:r>
    </w:p>
    <w:p w:rsidR="00000000" w:rsidDel="00000000" w:rsidP="00000000" w:rsidRDefault="00000000" w:rsidRPr="00000000" w14:paraId="00000002">
      <w:pPr>
        <w:pStyle w:val="Heading4"/>
        <w:keepNext w:val="0"/>
        <w:keepLines w:val="0"/>
        <w:spacing w:after="40" w:before="0" w:lineRule="auto"/>
        <w:rPr>
          <w:b w:val="1"/>
          <w:bCs w:val="1"/>
          <w:color w:val="000000"/>
          <w:sz w:val="22"/>
          <w:szCs w:val="22"/>
        </w:rPr>
      </w:pPr>
      <w:bookmarkStart w:colFirst="0" w:colLast="0" w:name="_7hvhk86p8h8b" w:id="1"/>
      <w:bookmarkEnd w:id="1"/>
      <w:r w:rsidDel="00000000" w:rsidR="00000000" w:rsidRPr="00000000">
        <w:rPr>
          <w:rFonts w:ascii="Arial Unicode MS" w:cs="Arial Unicode MS" w:eastAsia="Arial Unicode MS" w:hAnsi="Arial Unicode MS"/>
          <w:b w:val="1"/>
          <w:bCs w:val="1"/>
          <w:color w:val="000000"/>
          <w:sz w:val="22"/>
          <w:szCs w:val="22"/>
          <w:rtl w:val="0"/>
        </w:rPr>
        <w:t xml:space="preserve">【エグゼクティブ・サマリー】</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貴社が直面している最大の財務リスクは、「現在のコア顧客（60〜80代）の逝去に伴う、次世代（40〜50代）への数兆円規模の資産流出（チャーン）」および「全口座区分の混在、ミニマムタックス（最低30%課税）、損益通算漏れ、外貨建て資産運用における為替差益など複雑な課税関係に伴う顧客満足度の低下・申告漏れリスク」です。 本提案は、貴社の既存の顧客基盤を活かし、これまでアプローチが極めて困難だった「顧客の子供・孫世代」を将来にわたって貴社経済圏に強固にリテンションする、初期導入・年間保守費用無料のAI資産継承プラットフォーム『Generative Wealth Bridge（GWB）』のご案内です。米国メガバンクや新興デジタル証券（Robinhood等）で先行導入され、世界最高峰のセキュリティとコンプライアンスを満たしたグローバル標準のシステムを、日本市場（全口座区分対応NISA経済圏・暦年贈与枠・ミニマムタックス対策・損益通算/3年繰越控除・最高裁判決対応の為替差益管理）に最適化してお届けします。</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139utjq9t2ar" w:id="2"/>
      <w:bookmarkEnd w:id="2"/>
      <w:r w:rsidDel="00000000" w:rsidR="00000000" w:rsidRPr="00000000">
        <w:rPr>
          <w:rFonts w:ascii="Arial Unicode MS" w:cs="Arial Unicode MS" w:eastAsia="Arial Unicode MS" w:hAnsi="Arial Unicode MS"/>
          <w:b w:val="1"/>
          <w:bCs w:val="1"/>
          <w:color w:val="000000"/>
          <w:sz w:val="22"/>
          <w:szCs w:val="22"/>
          <w:rtl w:val="0"/>
        </w:rPr>
        <w:t xml:space="preserve">貴社がGWBを導入すべき「3大メリット」</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1. 資産流出（チャーン）を自動防止する「リテンション・アーキテクチャ」の構築</w:t>
      </w:r>
    </w:p>
    <w:p w:rsidR="00000000" w:rsidDel="00000000" w:rsidP="00000000" w:rsidRDefault="00000000" w:rsidRPr="00000000" w14:paraId="00000006">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高齢者本人への投資勧誘」という従来の単一アプローチから脱却し、「孫・子供世代へのお小遣い・生前贈与のスマートなデジタル動線」をデジタル上に構築。相続発生時における他社NISA口座や決済アプリへの資産流出を未然に防止（リテンション）します。</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2. 金融庁「金融教育義務化」の潮流に乗った、若年層口座の先先行獲得</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GWBを「中立な教育デジタル副読本」として地域社会や教育現場（高校等）へ無料開放・アプローチすることで、営利色を排した形で「未来の優良顧客（子供世代）」の新規口座開設の導線を確固たるものにできます。</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3. 法的・税務リスク・システム投資「ゼロ」での最先端AI・ガバナンス実装</w:t>
      </w:r>
    </w:p>
    <w:p w:rsidR="00000000" w:rsidDel="00000000" w:rsidP="00000000" w:rsidRDefault="00000000" w:rsidRPr="00000000" w14:paraId="0000000A">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金融機関の導入ハードルとなる「投資助言違反リスク（金商法/SEC・FINRA規制）」、「意図せぬ脱税リスク（贈与税法・110万円枠）」、「全口座区分（新NISA/特定/一般/こどもNISA）の誤認」、「ミニマムタックス（最低30%課税）や損益通算/3年繰越控除の計算漏れ」、および「最高裁判決に対応した外貨為替差益（雑所得）の管理トラブル」は、GWBのシステムレイヤー（Amazon Bedrock出力検閲フィルター、110万円上限ホールド機能、全口座区分自動制御、税務最適化エンジン、為替差益自動トラッキング機能の物理ロック）により完全にカプセル化されています。また、地政学・マーケットリスク・税制判例変更に対応する「レギュラトリー・リスク・ゲートウェイ（人間のチェックを介した2レイヤー・ホールド運用）」も標準装備。貴社は巨額のシステム開発費（CapEx）やリーガル・税務リスクを負担することなく、即座に安全な最先端AIソリューションを導入可能です。</w:t>
      </w:r>
    </w:p>
    <w:p w:rsidR="00000000" w:rsidDel="00000000" w:rsidP="00000000" w:rsidRDefault="00000000" w:rsidRPr="00000000" w14:paraId="0000000B">
      <w:pPr>
        <w:pStyle w:val="Heading4"/>
        <w:keepNext w:val="0"/>
        <w:keepLines w:val="0"/>
        <w:spacing w:after="40" w:before="0" w:lineRule="auto"/>
        <w:rPr>
          <w:b w:val="1"/>
          <w:bCs w:val="1"/>
          <w:color w:val="000000"/>
          <w:sz w:val="22"/>
          <w:szCs w:val="22"/>
        </w:rPr>
      </w:pPr>
      <w:bookmarkStart w:colFirst="0" w:colLast="0" w:name="_1d8wpabedgi7" w:id="3"/>
      <w:bookmarkEnd w:id="3"/>
      <w:r w:rsidDel="00000000" w:rsidR="00000000" w:rsidRPr="00000000">
        <w:rPr>
          <w:rFonts w:ascii="Arial Unicode MS" w:cs="Arial Unicode MS" w:eastAsia="Arial Unicode MS" w:hAnsi="Arial Unicode MS"/>
          <w:b w:val="1"/>
          <w:bCs w:val="1"/>
          <w:color w:val="000000"/>
          <w:sz w:val="22"/>
          <w:szCs w:val="22"/>
          <w:rtl w:val="0"/>
        </w:rPr>
        <w:t xml:space="preserve">協業の枠組みとコストストラクチャ</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初期ライセンス費用:</w:t>
      </w:r>
      <w:r w:rsidDel="00000000" w:rsidR="00000000" w:rsidRPr="00000000">
        <w:rPr>
          <w:rFonts w:ascii="Arial Unicode MS" w:cs="Arial Unicode MS" w:eastAsia="Arial Unicode MS" w:hAnsi="Arial Unicode MS"/>
          <w:rtl w:val="0"/>
        </w:rPr>
        <w:t xml:space="preserve"> ¥0 （無償提供）</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年間保守・運用費用:</w:t>
      </w:r>
      <w:r w:rsidDel="00000000" w:rsidR="00000000" w:rsidRPr="00000000">
        <w:rPr>
          <w:rFonts w:ascii="Arial Unicode MS" w:cs="Arial Unicode MS" w:eastAsia="Arial Unicode MS" w:hAnsi="Arial Unicode MS"/>
          <w:rtl w:val="0"/>
        </w:rPr>
        <w:t xml:space="preserve"> ¥0 （Amazon（AWS）側の戦略的レバレッジ投資として対応）</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貴社のご負担・役割:</w:t>
      </w:r>
      <w:r w:rsidDel="00000000" w:rsidR="00000000" w:rsidRPr="00000000">
        <w:rPr>
          <w:rFonts w:ascii="Arial Unicode MS" w:cs="Arial Unicode MS" w:eastAsia="Arial Unicode MS" w:hAnsi="Arial Unicode MS"/>
          <w:rtl w:val="0"/>
        </w:rPr>
        <w:t xml:space="preserve"> 既存顧客へのGWBアプリの告知、および新規口座開設フォームの連携</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システム連携仕様:</w:t>
      </w:r>
      <w:r w:rsidDel="00000000" w:rsidR="00000000" w:rsidRPr="00000000">
        <w:rPr>
          <w:rFonts w:ascii="Arial Unicode MS" w:cs="Arial Unicode MS" w:eastAsia="Arial Unicode MS" w:hAnsi="Arial Unicode MS"/>
          <w:rtl w:val="0"/>
        </w:rPr>
        <w:t xml:space="preserve"> 貴社既存基幹システム（預金・取引・顧客マスター）へは、APIやショートURL経由での「ミニマム連携（UIDのみ）」を行うため、貴社システムへリアルタイムの過負荷を一切かけない安全なトポロジーを死守します。</w:t>
      </w:r>
    </w:p>
    <w:p w:rsidR="00000000" w:rsidDel="00000000" w:rsidP="00000000" w:rsidRDefault="00000000" w:rsidRPr="00000000" w14:paraId="00000010">
      <w:pPr>
        <w:pStyle w:val="Heading4"/>
        <w:keepNext w:val="0"/>
        <w:keepLines w:val="0"/>
        <w:spacing w:after="40" w:before="0" w:lineRule="auto"/>
        <w:rPr>
          <w:b w:val="1"/>
          <w:bCs w:val="1"/>
          <w:color w:val="000000"/>
          <w:sz w:val="22"/>
          <w:szCs w:val="22"/>
        </w:rPr>
      </w:pPr>
      <w:bookmarkStart w:colFirst="0" w:colLast="0" w:name="_u2842fx1wkry" w:id="4"/>
      <w:bookmarkEnd w:id="4"/>
      <w:r w:rsidDel="00000000" w:rsidR="00000000" w:rsidRPr="00000000">
        <w:rPr>
          <w:rFonts w:ascii="Arial Unicode MS" w:cs="Arial Unicode MS" w:eastAsia="Arial Unicode MS" w:hAnsi="Arial Unicode MS"/>
          <w:b w:val="1"/>
          <w:bCs w:val="1"/>
          <w:color w:val="000000"/>
          <w:sz w:val="22"/>
          <w:szCs w:val="22"/>
          <w:rtl w:val="0"/>
        </w:rPr>
        <w:t xml:space="preserve">ネクストステップ（PoC：共同実証実験のご提案）</w:t>
      </w:r>
    </w:p>
    <w:p w:rsidR="00000000" w:rsidDel="00000000" w:rsidP="00000000" w:rsidRDefault="00000000" w:rsidRPr="00000000" w14:paraId="00000011">
      <w:pPr>
        <w:spacing w:after="240" w:lineRule="auto"/>
        <w:rPr/>
      </w:pPr>
      <w:r w:rsidDel="00000000" w:rsidR="00000000" w:rsidRPr="00000000">
        <w:rPr>
          <w:rFonts w:ascii="Arial Unicode MS" w:cs="Arial Unicode MS" w:eastAsia="Arial Unicode MS" w:hAnsi="Arial Unicode MS"/>
          <w:rtl w:val="0"/>
        </w:rPr>
        <w:t xml:space="preserve">まずは貴社の一部の上顧客（ハイネットワース層）、または特定の地域・支店において、3ヶ月間の限定実証実験（PoC）を実施し、「子供世代の新規口座開設率」や「全口座区分管理・税務最適化・為替差益自動管理による資産運用活性化」の具体的な検証を行うことをご提案いたします。</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