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mt9mzmb3b7jd" w:id="0"/>
      <w:bookmarkEnd w:id="0"/>
      <w:r w:rsidDel="00000000" w:rsidR="00000000" w:rsidRPr="00000000">
        <w:rPr>
          <w:b w:val="1"/>
          <w:bCs w:val="1"/>
          <w:rtl w:val="0"/>
        </w:rPr>
        <w:t xml:space="preserve">15_ ⚠️ 営業・BizDev担当者向け「NGワード集」＆言い換えマニュアル（改訂第4版・ガバナンス強化仕様準拠対応版）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【重要・社内秘】 金融機関や行政との交渉において、以下の「NGワード」を1文字でも書面・口頭で発信した場合、独占禁止法違反による巨額の罰徴金、または金融庁からの実証実験取り消し処分を受けるリスクがあります。必ず右側の「推奨表現」へ言い換えてください。</w:t>
      </w:r>
    </w:p>
    <w:p w:rsidR="00000000" w:rsidDel="00000000" w:rsidP="00000000" w:rsidRDefault="00000000" w:rsidRPr="00000000" w14:paraId="00000003">
      <w:pPr>
        <w:pStyle w:val="Heading4"/>
        <w:keepNext w:val="0"/>
        <w:keepLines w:val="0"/>
        <w:spacing w:after="40" w:before="0" w:lineRule="auto"/>
        <w:rPr>
          <w:b w:val="1"/>
          <w:bCs w:val="1"/>
          <w:color w:val="000000"/>
          <w:sz w:val="22"/>
          <w:szCs w:val="22"/>
        </w:rPr>
      </w:pPr>
      <w:bookmarkStart w:colFirst="0" w:colLast="0" w:name="_aed88z3vwv2p" w:id="1"/>
      <w:bookmarkEnd w:id="1"/>
      <w:r w:rsidDel="00000000" w:rsidR="00000000" w:rsidRPr="00000000">
        <w:rPr>
          <w:rFonts w:ascii="Arial Unicode MS" w:cs="Arial Unicode MS" w:eastAsia="Arial Unicode MS" w:hAnsi="Arial Unicode MS"/>
          <w:b w:val="1"/>
          <w:bCs w:val="1"/>
          <w:color w:val="000000"/>
          <w:sz w:val="22"/>
          <w:szCs w:val="22"/>
          <w:rtl w:val="0"/>
        </w:rPr>
        <w:t xml:space="preserve">1. クラウドインフラのリプレース（奪取）に関するNG</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経営陣への本音（インフラ奪取）が顧客に漏れると、「抱き合わせ販売」の違法行為とみなされます。</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「このAIツールは無料ですが、その代わり現在のGCP（またはAzure）を解約して、当社のAWSに乗り換えてもらうことが条件です」</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「AWSへの移行に関する覚書（MOU）を結んでいただけないと、このツールは提供できません」</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 「本AIツールの性能（リアルタイムのライフログ解析、全口座区分の自動制御、ミニマムタックス・損益通算・為替差益の自動計算、データ遅延の最小化）を100%発揮するための、技術的な推奨インフラがAWSとなっております。インフラの統合によるコスト最適化（Egress料金 / データ転送量課金の削減）のご提案も、別途シミュレーション可能です」</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mhvllp1i64jo" w:id="2"/>
      <w:bookmarkEnd w:id="2"/>
      <w:r w:rsidDel="00000000" w:rsidR="00000000" w:rsidRPr="00000000">
        <w:rPr>
          <w:rFonts w:ascii="Arial Unicode MS" w:cs="Arial Unicode MS" w:eastAsia="Arial Unicode MS" w:hAnsi="Arial Unicode MS"/>
          <w:b w:val="1"/>
          <w:bCs w:val="1"/>
          <w:color w:val="000000"/>
          <w:sz w:val="22"/>
          <w:szCs w:val="22"/>
          <w:rtl w:val="0"/>
        </w:rPr>
        <w:t xml:space="preserve">2. アルゴリズムの優遇（ステルスレバレッジ）に関するNG</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「裏でAWS採用企業を優遇している」ことが露見すると、独禁法および金融庁への中立性虚偽報告になります。</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「裏のアルゴリズムを調整して、御社の表示順位を上げておきますよ」</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「AWSを使ってくれている企業が、アプリ内で優先的に表示される仕組みになっています」</w:t>
      </w:r>
    </w:p>
    <w:p w:rsidR="00000000" w:rsidDel="00000000" w:rsidP="00000000" w:rsidRDefault="00000000" w:rsidRPr="00000000" w14:paraId="0000000C">
      <w:pPr>
        <w:numPr>
          <w:ilvl w:val="0"/>
          <w:numId w:val="4"/>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 「本システムは金融庁の認可リストに基づき、完全なる『中立・公平なシャッフルロジック』で動的に複数提示を行います。ただし、AIの応答速度やデータ連携の親和性（技術的レイテンシー）の観点から、AWS基盤同士の通信が最もスムーズなUX（ユーザー体験）を提供する構造となっております」</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rfemxkmm25z6" w:id="3"/>
      <w:bookmarkEnd w:id="3"/>
      <w:r w:rsidDel="00000000" w:rsidR="00000000" w:rsidRPr="00000000">
        <w:rPr>
          <w:rFonts w:ascii="Arial Unicode MS" w:cs="Arial Unicode MS" w:eastAsia="Arial Unicode MS" w:hAnsi="Arial Unicode MS"/>
          <w:b w:val="1"/>
          <w:bCs w:val="1"/>
          <w:color w:val="000000"/>
          <w:sz w:val="22"/>
          <w:szCs w:val="22"/>
          <w:rtl w:val="0"/>
        </w:rPr>
        <w:t xml:space="preserve">3. 金融庁・規制当局へのアプローチに関するNG</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「お上を騙す、すり抜ける」といったニュアンスは、当局の態度を極めて硬化させます。</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「金融庁の規制がうるさいので、中立の建前でカモフラージュしています」</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「AIの嘘（ハルシネーション）のリスクは、銀行側の免責事項に丸投げして逃げます」</w:t>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 「行政が求める中立性を100%厳守するため、マルチ・ブローカー対応のプロトコルを実装しております。また、AIのハルシネーションや税務・レギュラトリーリスクは、Amazon Bedrockベースの検閲フィルター、全口座区分選択・110万円/雑所得20万円の物理ロック、ミニマムタックス/損益通算エンジン、およびAmazon A2Iによる2レイヤー・ホールド（人間の承認）により、堅牢なガードレールを敷いてカプセル化しております」</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8jew40xi7wdn" w:id="4"/>
      <w:bookmarkEnd w:id="4"/>
      <w:r w:rsidDel="00000000" w:rsidR="00000000" w:rsidRPr="00000000">
        <w:rPr>
          <w:rFonts w:ascii="Arial Unicode MS" w:cs="Arial Unicode MS" w:eastAsia="Arial Unicode MS" w:hAnsi="Arial Unicode MS"/>
          <w:b w:val="1"/>
          <w:bCs w:val="1"/>
          <w:color w:val="000000"/>
          <w:sz w:val="22"/>
          <w:szCs w:val="22"/>
          <w:rtl w:val="0"/>
        </w:rPr>
        <w:t xml:space="preserve">4. 【追加】日本型口座区分・ミニマムタックス・損益通算・為替差益（最高裁判決対応）管理に関するNG</w:t>
      </w:r>
    </w:p>
    <w:p w:rsidR="00000000" w:rsidDel="00000000" w:rsidP="00000000" w:rsidRDefault="00000000" w:rsidRPr="00000000" w14:paraId="00000013">
      <w:pPr>
        <w:spacing w:after="240" w:lineRule="auto"/>
        <w:rPr/>
      </w:pPr>
      <w:r w:rsidDel="00000000" w:rsidR="00000000" w:rsidRPr="00000000">
        <w:rPr>
          <w:rFonts w:ascii="Arial Unicode MS" w:cs="Arial Unicode MS" w:eastAsia="Arial Unicode MS" w:hAnsi="Arial Unicode MS"/>
          <w:rtl w:val="0"/>
        </w:rPr>
        <w:t xml:space="preserve">口座区分の誤認示唆、ミニマムタックス（最低30%課税）や損益通算（3年繰越控除含む）の不適切な処理指示、および外貨建て資産の為替差益について不適切な税務助言や確定申告の不要・脱税を示唆する表現は即座に税務・金融規制違反となります。</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「新NISA・特定・一般口座やこどもNISAが混在していても、AIが勝手に非課税処理するのでお客様は何もしなくて大丈夫です（あるいは、税務署に申告しなくてもバレません）」</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 「最高裁判決の為替計算やミニマムタックス、損益通算は複雑ですが、当社のAIが税務署への申告手続きを全て代理・代行します」</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 「日本固有の全口座区分（一般・特定・新NISA・こどもNISA）を自動識別し、最高裁判決に準拠した『為替差益自動算定モジュール』、ミニマムタックス回避診断、および3年間の繰越控除に対応した『損益通算最適化エンジン』により、税務処理をシステム維持します。申告や課税発生のラインに接近した際には事前アラートを発動し、ワンクリックで確定申告用サポートデータを出力してユーザーの申告漏れや過払い・控除漏れを未然に防止します」</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