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lorwwau7n1ln" w:id="0"/>
      <w:bookmarkEnd w:id="0"/>
      <w:r w:rsidDel="00000000" w:rsidR="00000000" w:rsidRPr="00000000">
        <w:rPr>
          <w:b w:val="1"/>
          <w:bCs w:val="1"/>
          <w:rtl w:val="0"/>
        </w:rPr>
        <w:t xml:space="preserve">16_ 🏛️ 金融庁提出用：実証実験（PoC）実施計画書（改訂第4版・ガバナンス強化仕様準拠対応版）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【文書番号】 AWS-FSA-2026-001 【申請日】 2026年xx月xx日 【申請者】 アマゾン ウェブ サービス ジャパン合同会社 金融ソリューション政策推進班 【プロジェクト名称】 次世代金融リテラシー向上および家庭内資産の健全な還流促進に向けた、体験型デジタルサンドボックス環境の実証実験</w:t>
      </w:r>
    </w:p>
    <w:p w:rsidR="00000000" w:rsidDel="00000000" w:rsidP="00000000" w:rsidRDefault="00000000" w:rsidRPr="00000000" w14:paraId="00000003">
      <w:pPr>
        <w:pStyle w:val="Heading4"/>
        <w:keepNext w:val="0"/>
        <w:keepLines w:val="0"/>
        <w:spacing w:after="40" w:before="0" w:lineRule="auto"/>
        <w:rPr>
          <w:b w:val="1"/>
          <w:bCs w:val="1"/>
          <w:color w:val="000000"/>
          <w:sz w:val="22"/>
          <w:szCs w:val="22"/>
        </w:rPr>
      </w:pPr>
      <w:bookmarkStart w:colFirst="0" w:colLast="0" w:name="_pl1sjo2elm6g" w:id="1"/>
      <w:bookmarkEnd w:id="1"/>
      <w:r w:rsidDel="00000000" w:rsidR="00000000" w:rsidRPr="00000000">
        <w:rPr>
          <w:rFonts w:ascii="Arial Unicode MS" w:cs="Arial Unicode MS" w:eastAsia="Arial Unicode MS" w:hAnsi="Arial Unicode MS"/>
          <w:b w:val="1"/>
          <w:bCs w:val="1"/>
          <w:color w:val="000000"/>
          <w:sz w:val="22"/>
          <w:szCs w:val="22"/>
          <w:rtl w:val="0"/>
        </w:rPr>
        <w:t xml:space="preserve">1. 実証実験の目的と社会的意義</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本実証実験は、2022年より義務化された高校における「金融経済教育」の現場が抱える課題（指導リソース・教材の不足）を解決すると同時に、高齢者層に滞留する「1,000兆円超の現預金」を、暦年贈与の仕組みを活用して次世代の生産的な長期投資（NISA等）へ安全かつ健全に還流させるための「技術的基盤」を検証することを目的とする。</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s69shwde6r9o" w:id="2"/>
      <w:bookmarkEnd w:id="2"/>
      <w:r w:rsidDel="00000000" w:rsidR="00000000" w:rsidRPr="00000000">
        <w:rPr>
          <w:rFonts w:ascii="Arial Unicode MS" w:cs="Arial Unicode MS" w:eastAsia="Arial Unicode MS" w:hAnsi="Arial Unicode MS"/>
          <w:b w:val="1"/>
          <w:bCs w:val="1"/>
          <w:color w:val="000000"/>
          <w:sz w:val="22"/>
          <w:szCs w:val="22"/>
          <w:rtl w:val="0"/>
        </w:rPr>
        <w:t xml:space="preserve">2. 実証実験の概要と実施方法</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対象（被験者）：</w:t>
      </w:r>
      <w:r w:rsidDel="00000000" w:rsidR="00000000" w:rsidRPr="00000000">
        <w:rPr>
          <w:rFonts w:ascii="Arial Unicode MS" w:cs="Arial Unicode MS" w:eastAsia="Arial Unicode MS" w:hAnsi="Arial Unicode MS"/>
          <w:rtl w:val="0"/>
        </w:rPr>
        <w:t xml:space="preserve"> 協力自治体の指定高校（生徒およびその保護者）約1,000世帯、および検証に同意した認可金融機関。</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実施内容：</w:t>
      </w:r>
      <w:r w:rsidDel="00000000" w:rsidR="00000000" w:rsidRPr="00000000">
        <w:rPr>
          <w:rFonts w:ascii="Arial Unicode MS" w:cs="Arial Unicode MS" w:eastAsia="Arial Unicode MS" w:hAnsi="Arial Unicode MS"/>
          <w:rtl w:val="0"/>
        </w:rPr>
        <w:t xml:space="preserve"> 生徒側には「お小遣い帳」の延長として、選択のトレードオフ（流動性と機会損失）を学ぶ仮想シミュレーション環境を提供。保護者側には、そのログに応じた「日本型全口座区分（一般・特定・新NISA・こどもNISA）を網羅した暦年贈与枠活用シミュレーション」、高額資産層向けの「ミニマムタックス（最低30%課税）回避判定」、「損益通算/3年繰越控除最適化」、および外貨建て積立時の「為替差益自動管理機能」を提供する。</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検証期間：</w:t>
      </w:r>
      <w:r w:rsidDel="00000000" w:rsidR="00000000" w:rsidRPr="00000000">
        <w:rPr>
          <w:rFonts w:ascii="Arial Unicode MS" w:cs="Arial Unicode MS" w:eastAsia="Arial Unicode MS" w:hAnsi="Arial Unicode MS"/>
          <w:rtl w:val="0"/>
        </w:rPr>
        <w:t xml:space="preserve"> 2026年10月1日 〜 2027年3月31日（6ヶ月間）</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oz1bcckjl71s" w:id="3"/>
      <w:bookmarkEnd w:id="3"/>
      <w:r w:rsidDel="00000000" w:rsidR="00000000" w:rsidRPr="00000000">
        <w:rPr>
          <w:rFonts w:ascii="Arial Unicode MS" w:cs="Arial Unicode MS" w:eastAsia="Arial Unicode MS" w:hAnsi="Arial Unicode MS"/>
          <w:b w:val="1"/>
          <w:bCs w:val="1"/>
          <w:color w:val="000000"/>
          <w:sz w:val="22"/>
          <w:szCs w:val="22"/>
          <w:rtl w:val="0"/>
        </w:rPr>
        <w:t xml:space="preserve">3. 法的課題のクリア（リーガル＆タックス・ガードレールの検証）</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本実証の最大の眼目は、行政および利用者が懸念する「法的リスク・税務エラー」が、システムレイヤーの物理ロックおよび自動判定ロジックによって100%排除可能かを確認することである。</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① 金融商品取引法（投資助言規制）への対応：</w:t>
      </w:r>
      <w:r w:rsidDel="00000000" w:rsidR="00000000" w:rsidRPr="00000000">
        <w:rPr>
          <w:rFonts w:ascii="Arial Unicode MS" w:cs="Arial Unicode MS" w:eastAsia="Arial Unicode MS" w:hAnsi="Arial Unicode MS"/>
          <w:rtl w:val="0"/>
        </w:rPr>
        <w:t xml:space="preserve"> AIのアウトプット層に「出力検閲フィルター（Guardrails for Amazon Bedrock）」を実装。特定個別銘柄（株・投資信託等）の推奨、および断定的利益の約束に該当する文言を物理的に遮断する機能を検証。助言行為の完全なノン・アクショナブル（非該当性）を担保する。</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② 相続税・贈与税法（暦年贈与枠）への対応：</w:t>
      </w:r>
      <w:r w:rsidDel="00000000" w:rsidR="00000000" w:rsidRPr="00000000">
        <w:rPr>
          <w:rFonts w:ascii="Arial Unicode MS" w:cs="Arial Unicode MS" w:eastAsia="Arial Unicode MS" w:hAnsi="Arial Unicode MS"/>
          <w:rtl w:val="0"/>
        </w:rPr>
        <w:t xml:space="preserve"> 年間110万円の基礎控除額を「絶対境界値（ハードバウンダリ）」としてシステム（Amazon DynamoDB）に設定。シミュレーション上の累積額が100万円に達した時点でアラートを発信し、110万円を超えるトランザクションはシステム側で自動ホールド（物理ロック）する。意図せぬ贈与税発生エラーの発生率「ゼロ」を検証する。</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③ 所得税法・税理士法（日本型口座区分・ミニマムタックス・損益通算・為替差益対応）：</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【全口座区分識別】</w:t>
      </w:r>
      <w:r w:rsidDel="00000000" w:rsidR="00000000" w:rsidRPr="00000000">
        <w:rPr>
          <w:rFonts w:ascii="Arial Unicode MS" w:cs="Arial Unicode MS" w:eastAsia="Arial Unicode MS" w:hAnsi="Arial Unicode MS"/>
          <w:rtl w:val="0"/>
        </w:rPr>
        <w:t xml:space="preserve"> 日本固有の全口座区分（新NISA/特定/一般/こどもNISA）の資産混在を自動識別・整理し、誤った口座間での売買移動に伴う意図せぬ課税発生を防ぐシステム制御を検証する。</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【ミニマムタックス対策】</w:t>
      </w:r>
      <w:r w:rsidDel="00000000" w:rsidR="00000000" w:rsidRPr="00000000">
        <w:rPr>
          <w:rFonts w:ascii="Arial Unicode MS" w:cs="Arial Unicode MS" w:eastAsia="Arial Unicode MS" w:hAnsi="Arial Unicode MS"/>
          <w:rtl w:val="0"/>
        </w:rPr>
        <w:t xml:space="preserve"> 所得税法等の改正に伴う高額所得者・資産家層へのミニマムタックス（最低30%税率）の適用ラインをバックエンドでリアルタイム診断し、事前アラートを発動する精度を検証する。</w:t>
      </w:r>
    </w:p>
    <w:p w:rsidR="00000000" w:rsidDel="00000000" w:rsidP="00000000" w:rsidRDefault="00000000" w:rsidRPr="00000000" w14:paraId="00000010">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【損益通算＆3年繰越控除】</w:t>
      </w:r>
      <w:r w:rsidDel="00000000" w:rsidR="00000000" w:rsidRPr="00000000">
        <w:rPr>
          <w:rFonts w:ascii="Arial Unicode MS" w:cs="Arial Unicode MS" w:eastAsia="Arial Unicode MS" w:hAnsi="Arial Unicode MS"/>
          <w:rtl w:val="0"/>
        </w:rPr>
        <w:t xml:space="preserve"> 上場株式等の譲渡損失・配当等の損益通算および翌年以降3年間の繰越控除を自動最適化計算し、申告漏れや過払い税金の発生を物理的に防止する。</w:t>
      </w:r>
    </w:p>
    <w:p w:rsidR="00000000" w:rsidDel="00000000" w:rsidP="00000000" w:rsidRDefault="00000000" w:rsidRPr="00000000" w14:paraId="00000011">
      <w:pPr>
        <w:numPr>
          <w:ilvl w:val="1"/>
          <w:numId w:val="1"/>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【為替差益（最高裁判決準拠）】</w:t>
      </w:r>
      <w:r w:rsidDel="00000000" w:rsidR="00000000" w:rsidRPr="00000000">
        <w:rPr>
          <w:rFonts w:ascii="Arial Unicode MS" w:cs="Arial Unicode MS" w:eastAsia="Arial Unicode MS" w:hAnsi="Arial Unicode MS"/>
          <w:rtl w:val="0"/>
        </w:rPr>
        <w:t xml:space="preserve"> 外貨建て資産の小額・高頻度積立や銘柄乗り換え時に発生する為替差益につき、最高裁判決に準拠した平均取得単価（移動平均法／総平均法）をバックエンドで全自動計算。雑所得が確定申告を要する20万円に接近した段階でシステムが事前に警告を発し、申告サポート用データ（CSV/PDF）をワンクリック出力する機能を検証。無申告リスクの防止と税理士法に抵触しないデータ出力の安全性を担保する。</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nv1yemwjdl4q" w:id="4"/>
      <w:bookmarkEnd w:id="4"/>
      <w:r w:rsidDel="00000000" w:rsidR="00000000" w:rsidRPr="00000000">
        <w:rPr>
          <w:rFonts w:ascii="Arial Unicode MS" w:cs="Arial Unicode MS" w:eastAsia="Arial Unicode MS" w:hAnsi="Arial Unicode MS"/>
          <w:b w:val="1"/>
          <w:bCs w:val="1"/>
          <w:color w:val="000000"/>
          <w:sz w:val="22"/>
          <w:szCs w:val="22"/>
          <w:rtl w:val="0"/>
        </w:rPr>
        <w:t xml:space="preserve">4. 競争政策上の中立性担保（マルチ・ブローカー・プロトコル＆2レイヤー制御）</w:t>
      </w:r>
    </w:p>
    <w:p w:rsidR="00000000" w:rsidDel="00000000" w:rsidP="00000000" w:rsidRDefault="00000000" w:rsidRPr="00000000" w14:paraId="00000013">
      <w:pPr>
        <w:spacing w:after="240" w:lineRule="auto"/>
        <w:rPr/>
      </w:pPr>
      <w:r w:rsidDel="00000000" w:rsidR="00000000" w:rsidRPr="00000000">
        <w:rPr>
          <w:rFonts w:ascii="Arial Unicode MS" w:cs="Arial Unicode MS" w:eastAsia="Arial Unicode MS" w:hAnsi="Arial Unicode MS"/>
          <w:rtl w:val="0"/>
        </w:rPr>
        <w:t xml:space="preserve">本プラットフォームは特定の民間金融機関を優遇するものではない。 実証実験において、シミュレーションから実際の口座開設フォーム（外部サイト）へ遷移する動線は、金融庁の認可金融機関リスト（ホワイトリスト）に基づき、動的に複数提示（シャッフル表示）を行う「中立プロバイダ・プロトコル」を適用する。これにより、特定の経済圏への顧客囲い込み（エココマーシャル）を完全に排除し、市場の公正な競争環境を維持する。 また、判例変更や金融機関の行政指導等のマクロリスクを検知した際には、Amazon Augmented AI (A2I) を介した「2レイヤー・ホールド・ワークフロー（人間の承認）」により、対象事業者を一時的に非表示・保留状態にするガバナンス機構も検証する。</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2nhsy9eeaj9w" w:id="5"/>
      <w:bookmarkEnd w:id="5"/>
      <w:r w:rsidDel="00000000" w:rsidR="00000000" w:rsidRPr="00000000">
        <w:rPr>
          <w:rFonts w:ascii="Arial Unicode MS" w:cs="Arial Unicode MS" w:eastAsia="Arial Unicode MS" w:hAnsi="Arial Unicode MS"/>
          <w:b w:val="1"/>
          <w:bCs w:val="1"/>
          <w:color w:val="000000"/>
          <w:sz w:val="22"/>
          <w:szCs w:val="22"/>
          <w:rtl w:val="0"/>
        </w:rPr>
        <w:t xml:space="preserve">5. 安全管理措置（データプライバシー）</w:t>
      </w:r>
    </w:p>
    <w:p w:rsidR="00000000" w:rsidDel="00000000" w:rsidP="00000000" w:rsidRDefault="00000000" w:rsidRPr="00000000" w14:paraId="00000015">
      <w:pPr>
        <w:spacing w:after="240" w:lineRule="auto"/>
        <w:rPr/>
      </w:pPr>
      <w:r w:rsidDel="00000000" w:rsidR="00000000" w:rsidRPr="00000000">
        <w:rPr>
          <w:rFonts w:ascii="Arial Unicode MS" w:cs="Arial Unicode MS" w:eastAsia="Arial Unicode MS" w:hAnsi="Arial Unicode MS"/>
          <w:rtl w:val="0"/>
        </w:rPr>
        <w:t xml:space="preserve">収集するライフログおよびシミュレーションデータは、個人を特定できないよう非識別化（アノニマイズ）処理を施した上で、国内の最高水準のセキュリティ基準を満たすAWS（Amazon Web Services）の国内データセンター（東京・大阪リージョン）内で暗号化・管理される。実証終了後、教育効果および税務ガードレールの有効性を取りまとめた分析レポートを作成し、金融庁および文部科学省へ提出する。</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