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iwxraqsh5d8c" w:id="0"/>
      <w:bookmarkEnd w:id="0"/>
      <w:r w:rsidDel="00000000" w:rsidR="00000000" w:rsidRPr="00000000">
        <w:rPr>
          <w:b w:val="1"/>
          <w:bCs w:val="1"/>
          <w:sz w:val="46"/>
          <w:szCs w:val="46"/>
          <w:rtl w:val="0"/>
        </w:rPr>
        <w:t xml:space="preserve">=================================GWB プロジェクト内部統制資料 17【改訂第4版・修正案】 🇺🇸 US Legal &amp; Compliance Executive Summary (Revised &amp; Updated)</w:t>
      </w:r>
    </w:p>
    <w:p w:rsidR="00000000" w:rsidDel="00000000" w:rsidP="00000000" w:rsidRDefault="00000000" w:rsidRPr="00000000" w14:paraId="00000002">
      <w:pPr>
        <w:pStyle w:val="Heading1"/>
        <w:keepNext w:val="0"/>
        <w:keepLines w:val="0"/>
        <w:spacing w:before="0" w:lineRule="auto"/>
        <w:rPr/>
      </w:pPr>
      <w:bookmarkStart w:colFirst="0" w:colLast="0" w:name="_v0em9m4htdds" w:id="1"/>
      <w:bookmarkEnd w:id="1"/>
      <w:r w:rsidDel="00000000" w:rsidR="00000000" w:rsidRPr="00000000">
        <w:rPr>
          <w:b w:val="1"/>
          <w:bCs w:val="1"/>
          <w:sz w:val="46"/>
          <w:szCs w:val="46"/>
          <w:rtl w:val="0"/>
        </w:rPr>
        <w:t xml:space="preserve">=================================</w:t>
      </w:r>
      <w:r w:rsidDel="00000000" w:rsidR="00000000" w:rsidRPr="00000000">
        <w:rPr>
          <w:rtl w:val="0"/>
        </w:rPr>
      </w:r>
    </w:p>
    <w:p w:rsidR="00000000" w:rsidDel="00000000" w:rsidP="00000000" w:rsidRDefault="00000000" w:rsidRPr="00000000" w14:paraId="00000003">
      <w:pPr>
        <w:spacing w:after="240" w:lineRule="auto"/>
        <w:rPr/>
      </w:pPr>
      <w:r w:rsidDel="00000000" w:rsidR="00000000" w:rsidRPr="00000000">
        <w:rPr>
          <w:rtl w:val="0"/>
        </w:rPr>
        <w:t xml:space="preserve">CONFIDENTIAL / FOR INTERNAL USE ONLY</w:t>
      </w:r>
    </w:p>
    <w:p w:rsidR="00000000" w:rsidDel="00000000" w:rsidP="00000000" w:rsidRDefault="00000000" w:rsidRPr="00000000" w14:paraId="00000004">
      <w:pPr>
        <w:spacing w:after="240" w:lineRule="auto"/>
        <w:rPr/>
      </w:pPr>
      <w:r w:rsidDel="00000000" w:rsidR="00000000" w:rsidRPr="00000000">
        <w:rPr>
          <w:rtl w:val="0"/>
        </w:rPr>
        <w:t xml:space="preserve">To: US Legal, Antitrust Compliance, and Risk Management Committee</w:t>
      </w:r>
    </w:p>
    <w:p w:rsidR="00000000" w:rsidDel="00000000" w:rsidP="00000000" w:rsidRDefault="00000000" w:rsidRPr="00000000" w14:paraId="00000005">
      <w:pPr>
        <w:spacing w:after="240" w:lineRule="auto"/>
        <w:rPr/>
      </w:pPr>
      <w:r w:rsidDel="00000000" w:rsidR="00000000" w:rsidRPr="00000000">
        <w:rPr>
          <w:rtl w:val="0"/>
        </w:rPr>
        <w:t xml:space="preserve">From: Japan Business Development &amp; Cloud Architecture Team</w:t>
      </w:r>
    </w:p>
    <w:p w:rsidR="00000000" w:rsidDel="00000000" w:rsidP="00000000" w:rsidRDefault="00000000" w:rsidRPr="00000000" w14:paraId="00000006">
      <w:pPr>
        <w:spacing w:after="240" w:lineRule="auto"/>
        <w:rPr/>
      </w:pPr>
      <w:r w:rsidDel="00000000" w:rsidR="00000000" w:rsidRPr="00000000">
        <w:rPr>
          <w:rtl w:val="0"/>
        </w:rPr>
        <w:t xml:space="preserve">Subject: Legal &amp; Regulatory Risk Mitigation for Project "Generative Wealth Bridge" (GWB)</w:t>
      </w:r>
    </w:p>
    <w:p w:rsidR="00000000" w:rsidDel="00000000" w:rsidP="00000000" w:rsidRDefault="00000000" w:rsidRPr="00000000" w14:paraId="00000007">
      <w:pPr>
        <w:pStyle w:val="Heading4"/>
        <w:keepNext w:val="0"/>
        <w:keepLines w:val="0"/>
        <w:spacing w:after="40" w:before="0" w:lineRule="auto"/>
        <w:rPr>
          <w:b w:val="1"/>
          <w:bCs w:val="1"/>
          <w:color w:val="000000"/>
          <w:sz w:val="22"/>
          <w:szCs w:val="22"/>
        </w:rPr>
      </w:pPr>
      <w:bookmarkStart w:colFirst="0" w:colLast="0" w:name="_7op1kfbe34dp" w:id="2"/>
      <w:bookmarkEnd w:id="2"/>
      <w:r w:rsidDel="00000000" w:rsidR="00000000" w:rsidRPr="00000000">
        <w:rPr>
          <w:b w:val="1"/>
          <w:bCs w:val="1"/>
          <w:color w:val="000000"/>
          <w:sz w:val="22"/>
          <w:szCs w:val="22"/>
          <w:rtl w:val="0"/>
        </w:rPr>
        <w:t xml:space="preserve">1. Project Overview &amp; Commercial Rationale</w:t>
      </w:r>
    </w:p>
    <w:p w:rsidR="00000000" w:rsidDel="00000000" w:rsidP="00000000" w:rsidRDefault="00000000" w:rsidRPr="00000000" w14:paraId="00000008">
      <w:pPr>
        <w:spacing w:after="240" w:lineRule="auto"/>
        <w:rPr/>
      </w:pPr>
      <w:r w:rsidDel="00000000" w:rsidR="00000000" w:rsidRPr="00000000">
        <w:rPr>
          <w:rtl w:val="0"/>
        </w:rPr>
        <w:t xml:space="preserve">Project "GWB" is a next-generation asset inheritance AI platform designed as a strategic "door-opener" (loss-leader) to capture high-value financial infrastructure contracts (GCP/Azure migration to AWS). The front-end user interface will be provided to tier-1 financial institutions at zero license cost (freemium). The core monetization model relies entirely on downstream AWS cloud infrastructure revenue generated through "Data Gravity."</w:t>
      </w:r>
    </w:p>
    <w:p w:rsidR="00000000" w:rsidDel="00000000" w:rsidP="00000000" w:rsidRDefault="00000000" w:rsidRPr="00000000" w14:paraId="00000009">
      <w:pPr>
        <w:pStyle w:val="Heading4"/>
        <w:keepNext w:val="0"/>
        <w:keepLines w:val="0"/>
        <w:spacing w:after="40" w:before="0" w:lineRule="auto"/>
        <w:rPr>
          <w:b w:val="1"/>
          <w:bCs w:val="1"/>
          <w:color w:val="000000"/>
          <w:sz w:val="22"/>
          <w:szCs w:val="22"/>
        </w:rPr>
      </w:pPr>
      <w:bookmarkStart w:colFirst="0" w:colLast="0" w:name="_amm8pbpqb9wu" w:id="3"/>
      <w:bookmarkEnd w:id="3"/>
      <w:r w:rsidDel="00000000" w:rsidR="00000000" w:rsidRPr="00000000">
        <w:rPr>
          <w:b w:val="1"/>
          <w:bCs w:val="1"/>
          <w:color w:val="000000"/>
          <w:sz w:val="22"/>
          <w:szCs w:val="22"/>
          <w:rtl w:val="0"/>
        </w:rPr>
        <w:t xml:space="preserve">2. US Antitrust &amp; Japan Antimonopoly Act (AMA) Risk Mitigation</w:t>
      </w:r>
    </w:p>
    <w:p w:rsidR="00000000" w:rsidDel="00000000" w:rsidP="00000000" w:rsidRDefault="00000000" w:rsidRPr="00000000" w14:paraId="0000000A">
      <w:pPr>
        <w:numPr>
          <w:ilvl w:val="0"/>
          <w:numId w:val="1"/>
        </w:numPr>
        <w:spacing w:after="0" w:afterAutospacing="0" w:lineRule="auto"/>
        <w:ind w:left="720" w:hanging="360"/>
      </w:pPr>
      <w:r w:rsidDel="00000000" w:rsidR="00000000" w:rsidRPr="00000000">
        <w:rPr>
          <w:b w:val="1"/>
          <w:bCs w:val="1"/>
          <w:rtl w:val="0"/>
        </w:rPr>
        <w:t xml:space="preserve">A. Preventing "Exclusionary Conduct" Claims via Open Plug-in Architecture</w:t>
        <w:br w:type="textWrapping"/>
      </w:r>
    </w:p>
    <w:p w:rsidR="00000000" w:rsidDel="00000000" w:rsidP="00000000" w:rsidRDefault="00000000" w:rsidRPr="00000000" w14:paraId="0000000B">
      <w:pPr>
        <w:numPr>
          <w:ilvl w:val="1"/>
          <w:numId w:val="1"/>
        </w:numPr>
        <w:spacing w:after="0" w:afterAutospacing="0" w:lineRule="auto"/>
        <w:ind w:left="1440" w:hanging="360"/>
      </w:pPr>
      <w:r w:rsidDel="00000000" w:rsidR="00000000" w:rsidRPr="00000000">
        <w:rPr>
          <w:b w:val="1"/>
          <w:bCs w:val="1"/>
          <w:rtl w:val="0"/>
        </w:rPr>
        <w:t xml:space="preserve">Risk:</w:t>
      </w:r>
      <w:r w:rsidDel="00000000" w:rsidR="00000000" w:rsidRPr="00000000">
        <w:rPr>
          <w:rtl w:val="0"/>
        </w:rPr>
        <w:t xml:space="preserve"> Leveraging dominance in one market to exclude competitors in another is prohibited under both US Antitrust Laws (Sherman Act Section 2) and Japan’s AMA.</w:t>
      </w:r>
    </w:p>
    <w:p w:rsidR="00000000" w:rsidDel="00000000" w:rsidP="00000000" w:rsidRDefault="00000000" w:rsidRPr="00000000" w14:paraId="0000000C">
      <w:pPr>
        <w:numPr>
          <w:ilvl w:val="1"/>
          <w:numId w:val="1"/>
        </w:numPr>
        <w:spacing w:after="0" w:afterAutospacing="0" w:lineRule="auto"/>
        <w:ind w:left="1440" w:hanging="360"/>
      </w:pPr>
      <w:r w:rsidDel="00000000" w:rsidR="00000000" w:rsidRPr="00000000">
        <w:rPr>
          <w:b w:val="1"/>
          <w:bCs w:val="1"/>
          <w:rtl w:val="0"/>
        </w:rPr>
        <w:t xml:space="preserve">Mitigation:</w:t>
      </w:r>
      <w:r w:rsidDel="00000000" w:rsidR="00000000" w:rsidRPr="00000000">
        <w:rPr>
          <w:rtl w:val="0"/>
        </w:rPr>
        <w:t xml:space="preserve"> GWB utilizes an open API plug-in architecture. The platform does not mandate exclusive use of AWS for the client’s legacy systems at contract inception. Any financial institution on the regulatory whitelist can connect via standard protocols. By maintaining an "Open Access" framework, we eliminate the legal basis for "tying" or "refusal to deal" claims.</w:t>
      </w:r>
    </w:p>
    <w:p w:rsidR="00000000" w:rsidDel="00000000" w:rsidP="00000000" w:rsidRDefault="00000000" w:rsidRPr="00000000" w14:paraId="0000000D">
      <w:pPr>
        <w:numPr>
          <w:ilvl w:val="0"/>
          <w:numId w:val="1"/>
        </w:numPr>
        <w:spacing w:after="0" w:afterAutospacing="0" w:lineRule="auto"/>
        <w:ind w:left="720" w:hanging="360"/>
      </w:pPr>
      <w:r w:rsidDel="00000000" w:rsidR="00000000" w:rsidRPr="00000000">
        <w:rPr>
          <w:b w:val="1"/>
          <w:bCs w:val="1"/>
          <w:rtl w:val="0"/>
        </w:rPr>
        <w:t xml:space="preserve">B. Objective Neutrality via "Multi-Broker Protocol" &amp; Technical Optimization</w:t>
        <w:br w:type="textWrapping"/>
      </w:r>
    </w:p>
    <w:p w:rsidR="00000000" w:rsidDel="00000000" w:rsidP="00000000" w:rsidRDefault="00000000" w:rsidRPr="00000000" w14:paraId="0000000E">
      <w:pPr>
        <w:numPr>
          <w:ilvl w:val="1"/>
          <w:numId w:val="1"/>
        </w:numPr>
        <w:spacing w:after="0" w:afterAutospacing="0" w:lineRule="auto"/>
        <w:ind w:left="1440" w:hanging="360"/>
      </w:pPr>
      <w:r w:rsidDel="00000000" w:rsidR="00000000" w:rsidRPr="00000000">
        <w:rPr>
          <w:b w:val="1"/>
          <w:bCs w:val="1"/>
          <w:rtl w:val="0"/>
        </w:rPr>
        <w:t xml:space="preserve">Risk:</w:t>
      </w:r>
      <w:r w:rsidDel="00000000" w:rsidR="00000000" w:rsidRPr="00000000">
        <w:rPr>
          <w:rtl w:val="0"/>
        </w:rPr>
        <w:t xml:space="preserve"> Arbitrary manipulation of financial institution rankings would trigger immediate regulatory blockages from Japan’s Financial Services Agency (FSA) and violate antitrust non-discrimination principles.</w:t>
      </w:r>
    </w:p>
    <w:p w:rsidR="00000000" w:rsidDel="00000000" w:rsidP="00000000" w:rsidRDefault="00000000" w:rsidRPr="00000000" w14:paraId="0000000F">
      <w:pPr>
        <w:numPr>
          <w:ilvl w:val="1"/>
          <w:numId w:val="1"/>
        </w:numPr>
        <w:spacing w:after="0" w:afterAutospacing="0" w:lineRule="auto"/>
        <w:ind w:left="1440" w:hanging="360"/>
      </w:pPr>
      <w:r w:rsidDel="00000000" w:rsidR="00000000" w:rsidRPr="00000000">
        <w:rPr>
          <w:b w:val="1"/>
          <w:bCs w:val="1"/>
          <w:rtl w:val="0"/>
        </w:rPr>
        <w:t xml:space="preserve">Mitigation:</w:t>
      </w:r>
      <w:r w:rsidDel="00000000" w:rsidR="00000000" w:rsidRPr="00000000">
        <w:rPr>
          <w:rtl w:val="0"/>
        </w:rPr>
        <w:t xml:space="preserve"> The consumer-facing UI features a "Multi-Broker Protocol" that dynamically shuffles and displays multiple financial institutions based on objective, non-discriminatory criteria (e.g., user location and demographics).</w:t>
      </w:r>
    </w:p>
    <w:p w:rsidR="00000000" w:rsidDel="00000000" w:rsidP="00000000" w:rsidRDefault="00000000" w:rsidRPr="00000000" w14:paraId="00000010">
      <w:pPr>
        <w:numPr>
          <w:ilvl w:val="1"/>
          <w:numId w:val="1"/>
        </w:numPr>
        <w:spacing w:after="240" w:lineRule="auto"/>
        <w:ind w:left="1440" w:hanging="360"/>
      </w:pPr>
      <w:r w:rsidDel="00000000" w:rsidR="00000000" w:rsidRPr="00000000">
        <w:rPr>
          <w:b w:val="1"/>
          <w:bCs w:val="1"/>
          <w:rtl w:val="0"/>
        </w:rPr>
        <w:t xml:space="preserve">Technical Optimization (Incentive Structure):</w:t>
      </w:r>
      <w:r w:rsidDel="00000000" w:rsidR="00000000" w:rsidRPr="00000000">
        <w:rPr>
          <w:rtl w:val="0"/>
        </w:rPr>
        <w:t xml:space="preserve"> The underlying ML model (Amazon Bedrock) naturally optimizes for pipeline efficiency and response velocity. Consequently, financial institutions hosting their core databases on AWS (such as Amazon Redshift) achieve lower technical latency and seamless data integration. This structural advantage natively yields superior UX scoring within the dynamic ranking model. This performance-driven differentiation is rooted in pure technological merit (reduced latency), entirely insulating the platform from claims of intentional or malicious regulatory evasion.</w:t>
      </w:r>
    </w:p>
    <w:p w:rsidR="00000000" w:rsidDel="00000000" w:rsidP="00000000" w:rsidRDefault="00000000" w:rsidRPr="00000000" w14:paraId="00000011">
      <w:pPr>
        <w:pStyle w:val="Heading4"/>
        <w:keepNext w:val="0"/>
        <w:keepLines w:val="0"/>
        <w:spacing w:after="40" w:before="0" w:lineRule="auto"/>
        <w:rPr>
          <w:b w:val="1"/>
          <w:bCs w:val="1"/>
          <w:color w:val="000000"/>
          <w:sz w:val="22"/>
          <w:szCs w:val="22"/>
        </w:rPr>
      </w:pPr>
      <w:bookmarkStart w:colFirst="0" w:colLast="0" w:name="_ukme2lrvui20" w:id="4"/>
      <w:bookmarkEnd w:id="4"/>
      <w:r w:rsidDel="00000000" w:rsidR="00000000" w:rsidRPr="00000000">
        <w:rPr>
          <w:b w:val="1"/>
          <w:bCs w:val="1"/>
          <w:color w:val="000000"/>
          <w:sz w:val="22"/>
          <w:szCs w:val="22"/>
          <w:rtl w:val="0"/>
        </w:rPr>
        <w:t xml:space="preserve">3. Financial Regulatory, Tax &amp; Hallucination Guardrails</w:t>
      </w:r>
    </w:p>
    <w:p w:rsidR="00000000" w:rsidDel="00000000" w:rsidP="00000000" w:rsidRDefault="00000000" w:rsidRPr="00000000" w14:paraId="00000012">
      <w:pPr>
        <w:numPr>
          <w:ilvl w:val="0"/>
          <w:numId w:val="2"/>
        </w:numPr>
        <w:spacing w:after="0" w:afterAutospacing="0" w:lineRule="auto"/>
        <w:ind w:left="720" w:hanging="360"/>
      </w:pPr>
      <w:r w:rsidDel="00000000" w:rsidR="00000000" w:rsidRPr="00000000">
        <w:rPr>
          <w:b w:val="1"/>
          <w:bCs w:val="1"/>
          <w:rtl w:val="0"/>
        </w:rPr>
        <w:t xml:space="preserve">A. Investment Advisory Act Isolation</w:t>
        <w:br w:type="textWrapping"/>
      </w:r>
    </w:p>
    <w:p w:rsidR="00000000" w:rsidDel="00000000" w:rsidP="00000000" w:rsidRDefault="00000000" w:rsidRPr="00000000" w14:paraId="00000013">
      <w:pPr>
        <w:numPr>
          <w:ilvl w:val="1"/>
          <w:numId w:val="2"/>
        </w:numPr>
        <w:spacing w:after="0" w:afterAutospacing="0" w:lineRule="auto"/>
        <w:ind w:left="1440" w:hanging="360"/>
      </w:pPr>
      <w:r w:rsidDel="00000000" w:rsidR="00000000" w:rsidRPr="00000000">
        <w:rPr>
          <w:b w:val="1"/>
          <w:bCs w:val="1"/>
          <w:rtl w:val="0"/>
        </w:rPr>
        <w:t xml:space="preserve">Mitigation:</w:t>
      </w:r>
      <w:r w:rsidDel="00000000" w:rsidR="00000000" w:rsidRPr="00000000">
        <w:rPr>
          <w:rtl w:val="0"/>
        </w:rPr>
        <w:t xml:space="preserve"> To insulate Amazon (AWS) from liability regarding unauthorized financial advice, an output censorship layer (Guardrails for Amazon Bedrock) is hard-coded into the LLM architecture. The system is structurally blocked from outputting specific stock tickers or guaranteeing investment returns. Furthermore, all legal liability and end-user terms of service are legally indemnified and pushed to the client financial institution's existing compliance framework.</w:t>
      </w:r>
    </w:p>
    <w:p w:rsidR="00000000" w:rsidDel="00000000" w:rsidP="00000000" w:rsidRDefault="00000000" w:rsidRPr="00000000" w14:paraId="00000014">
      <w:pPr>
        <w:numPr>
          <w:ilvl w:val="0"/>
          <w:numId w:val="2"/>
        </w:numPr>
        <w:spacing w:after="0" w:afterAutospacing="0" w:lineRule="auto"/>
        <w:ind w:left="720" w:hanging="360"/>
      </w:pPr>
      <w:r w:rsidDel="00000000" w:rsidR="00000000" w:rsidRPr="00000000">
        <w:rPr>
          <w:b w:val="1"/>
          <w:bCs w:val="1"/>
          <w:rtl w:val="0"/>
        </w:rPr>
        <w:t xml:space="preserve">B. Gift Tax Boundary Hard-Lock (JPY 1.1M Boundary)</w:t>
        <w:br w:type="textWrapping"/>
      </w:r>
    </w:p>
    <w:p w:rsidR="00000000" w:rsidDel="00000000" w:rsidP="00000000" w:rsidRDefault="00000000" w:rsidRPr="00000000" w14:paraId="00000015">
      <w:pPr>
        <w:numPr>
          <w:ilvl w:val="1"/>
          <w:numId w:val="2"/>
        </w:numPr>
        <w:spacing w:after="0" w:afterAutospacing="0" w:lineRule="auto"/>
        <w:ind w:left="1440" w:hanging="360"/>
      </w:pPr>
      <w:r w:rsidDel="00000000" w:rsidR="00000000" w:rsidRPr="00000000">
        <w:rPr>
          <w:b w:val="1"/>
          <w:bCs w:val="1"/>
          <w:rtl w:val="0"/>
        </w:rPr>
        <w:t xml:space="preserve">Mitigation:</w:t>
      </w:r>
      <w:r w:rsidDel="00000000" w:rsidR="00000000" w:rsidRPr="00000000">
        <w:rPr>
          <w:rtl w:val="0"/>
        </w:rPr>
        <w:t xml:space="preserve"> To prevent accidental tax penalties, the system implements a strict two-stage physical lock aligned with Japan's JPY 1.1 million annual tax-free gift threshold. The system triggers smart notifications at JPY 1.0 million and automatically holds any transaction attempting to cross the JPY 1.1 million boundary, encapsulating regulatory compliance at the system layer.</w:t>
      </w:r>
    </w:p>
    <w:p w:rsidR="00000000" w:rsidDel="00000000" w:rsidP="00000000" w:rsidRDefault="00000000" w:rsidRPr="00000000" w14:paraId="00000016">
      <w:pPr>
        <w:numPr>
          <w:ilvl w:val="0"/>
          <w:numId w:val="2"/>
        </w:numPr>
        <w:spacing w:after="0" w:afterAutospacing="0" w:lineRule="auto"/>
        <w:ind w:left="720" w:hanging="360"/>
      </w:pPr>
      <w:r w:rsidDel="00000000" w:rsidR="00000000" w:rsidRPr="00000000">
        <w:rPr>
          <w:b w:val="1"/>
          <w:bCs w:val="1"/>
          <w:rtl w:val="0"/>
        </w:rPr>
        <w:t xml:space="preserve">C. Comprehensive Japanese Tax &amp; Account Classification Engine</w:t>
      </w:r>
    </w:p>
    <w:p w:rsidR="00000000" w:rsidDel="00000000" w:rsidP="00000000" w:rsidRDefault="00000000" w:rsidRPr="00000000" w14:paraId="00000017">
      <w:pPr>
        <w:numPr>
          <w:ilvl w:val="1"/>
          <w:numId w:val="2"/>
        </w:numPr>
        <w:spacing w:after="0" w:afterAutospacing="0" w:lineRule="auto"/>
        <w:ind w:left="1440" w:hanging="360"/>
      </w:pPr>
      <w:r w:rsidDel="00000000" w:rsidR="00000000" w:rsidRPr="00000000">
        <w:rPr>
          <w:b w:val="1"/>
          <w:bCs w:val="1"/>
          <w:rtl w:val="0"/>
        </w:rPr>
        <w:t xml:space="preserve">Mitigation:</w:t>
      </w:r>
      <w:r w:rsidDel="00000000" w:rsidR="00000000" w:rsidRPr="00000000">
        <w:rPr>
          <w:rtl w:val="0"/>
        </w:rPr>
        <w:t xml:space="preserve"> To handle Japan-specific complex tax requirements, GWB incorporates a multi-layer regulatory engine covering four critical compliance dimensions:</w:t>
      </w:r>
    </w:p>
    <w:p w:rsidR="00000000" w:rsidDel="00000000" w:rsidP="00000000" w:rsidRDefault="00000000" w:rsidRPr="00000000" w14:paraId="00000018">
      <w:pPr>
        <w:numPr>
          <w:ilvl w:val="2"/>
          <w:numId w:val="2"/>
        </w:numPr>
        <w:spacing w:after="0" w:afterAutospacing="0" w:lineRule="auto"/>
        <w:ind w:left="2160" w:hanging="360"/>
      </w:pPr>
      <w:r w:rsidDel="00000000" w:rsidR="00000000" w:rsidRPr="00000000">
        <w:rPr>
          <w:b w:val="1"/>
          <w:bCs w:val="1"/>
          <w:rtl w:val="0"/>
        </w:rPr>
        <w:t xml:space="preserve">Account Classification Control:</w:t>
      </w:r>
      <w:r w:rsidDel="00000000" w:rsidR="00000000" w:rsidRPr="00000000">
        <w:rPr>
          <w:rtl w:val="0"/>
        </w:rPr>
        <w:t xml:space="preserve"> Automatically isolates and routes assets across General, Specific (Tokutei), New NISA, and Junior NISA accounts to prevent unintended taxable events.</w:t>
      </w:r>
    </w:p>
    <w:p w:rsidR="00000000" w:rsidDel="00000000" w:rsidP="00000000" w:rsidRDefault="00000000" w:rsidRPr="00000000" w14:paraId="00000019">
      <w:pPr>
        <w:numPr>
          <w:ilvl w:val="2"/>
          <w:numId w:val="2"/>
        </w:numPr>
        <w:spacing w:after="0" w:afterAutospacing="0" w:lineRule="auto"/>
        <w:ind w:left="2160" w:hanging="360"/>
      </w:pPr>
      <w:r w:rsidDel="00000000" w:rsidR="00000000" w:rsidRPr="00000000">
        <w:rPr>
          <w:b w:val="1"/>
          <w:bCs w:val="1"/>
          <w:rtl w:val="0"/>
        </w:rPr>
        <w:t xml:space="preserve">Minimum Tax Mitigation:</w:t>
      </w:r>
      <w:r w:rsidDel="00000000" w:rsidR="00000000" w:rsidRPr="00000000">
        <w:rPr>
          <w:rtl w:val="0"/>
        </w:rPr>
        <w:t xml:space="preserve"> Automatically monitors and alerts high-net-worth individual (HNWI) portfolios against Japan's Minimum Tax threshold (minimum 30% tax rate applicability).</w:t>
      </w:r>
    </w:p>
    <w:p w:rsidR="00000000" w:rsidDel="00000000" w:rsidP="00000000" w:rsidRDefault="00000000" w:rsidRPr="00000000" w14:paraId="0000001A">
      <w:pPr>
        <w:numPr>
          <w:ilvl w:val="2"/>
          <w:numId w:val="2"/>
        </w:numPr>
        <w:spacing w:after="0" w:afterAutospacing="0" w:lineRule="auto"/>
        <w:ind w:left="2160" w:hanging="360"/>
      </w:pPr>
      <w:r w:rsidDel="00000000" w:rsidR="00000000" w:rsidRPr="00000000">
        <w:rPr>
          <w:b w:val="1"/>
          <w:bCs w:val="1"/>
          <w:rtl w:val="0"/>
        </w:rPr>
        <w:t xml:space="preserve">Profit/Loss Offset &amp; 3-Year Loss Carryforward Engine:</w:t>
      </w:r>
      <w:r w:rsidDel="00000000" w:rsidR="00000000" w:rsidRPr="00000000">
        <w:rPr>
          <w:rtl w:val="0"/>
        </w:rPr>
        <w:t xml:space="preserve"> Computes optimal profit-and-loss offsets for capital gains/dividends and tracks 3-year loss carryforwards to prevent overpayment or missed tax deductions.</w:t>
      </w:r>
    </w:p>
    <w:p w:rsidR="00000000" w:rsidDel="00000000" w:rsidP="00000000" w:rsidRDefault="00000000" w:rsidRPr="00000000" w14:paraId="0000001B">
      <w:pPr>
        <w:numPr>
          <w:ilvl w:val="2"/>
          <w:numId w:val="2"/>
        </w:numPr>
        <w:spacing w:after="0" w:afterAutospacing="0" w:lineRule="auto"/>
        <w:ind w:left="2160" w:hanging="360"/>
      </w:pPr>
      <w:r w:rsidDel="00000000" w:rsidR="00000000" w:rsidRPr="00000000">
        <w:rPr>
          <w:b w:val="1"/>
          <w:bCs w:val="1"/>
          <w:rtl w:val="0"/>
        </w:rPr>
        <w:t xml:space="preserve">Foreign Exchange Gain Tax Tracking (Supreme Court Ruling Compliance):</w:t>
      </w:r>
      <w:r w:rsidDel="00000000" w:rsidR="00000000" w:rsidRPr="00000000">
        <w:rPr>
          <w:rtl w:val="0"/>
        </w:rPr>
        <w:t xml:space="preserve"> Automatically calculates moving average acquisition costs for foreign currency assets, triggers automated pre-alerts as miscellaneous income approaches the JPY 200,000 threshold, and generates standardized tax filing support data (CSV/PDF).</w:t>
      </w:r>
    </w:p>
    <w:p w:rsidR="00000000" w:rsidDel="00000000" w:rsidP="00000000" w:rsidRDefault="00000000" w:rsidRPr="00000000" w14:paraId="0000001C">
      <w:pPr>
        <w:numPr>
          <w:ilvl w:val="0"/>
          <w:numId w:val="2"/>
        </w:numPr>
        <w:spacing w:after="0" w:afterAutospacing="0" w:lineRule="auto"/>
        <w:ind w:left="720" w:hanging="360"/>
      </w:pPr>
      <w:r w:rsidDel="00000000" w:rsidR="00000000" w:rsidRPr="00000000">
        <w:rPr>
          <w:b w:val="1"/>
          <w:bCs w:val="1"/>
          <w:rtl w:val="0"/>
        </w:rPr>
        <w:t xml:space="preserve">D. Macro Regulatory &amp; Case Law Hold Control (Amazon A2I)</w:t>
        <w:br w:type="textWrapping"/>
      </w:r>
    </w:p>
    <w:p w:rsidR="00000000" w:rsidDel="00000000" w:rsidP="00000000" w:rsidRDefault="00000000" w:rsidRPr="00000000" w14:paraId="0000001D">
      <w:pPr>
        <w:numPr>
          <w:ilvl w:val="1"/>
          <w:numId w:val="2"/>
        </w:numPr>
        <w:spacing w:after="240" w:lineRule="auto"/>
        <w:ind w:left="1440" w:hanging="360"/>
      </w:pPr>
      <w:r w:rsidDel="00000000" w:rsidR="00000000" w:rsidRPr="00000000">
        <w:rPr>
          <w:b w:val="1"/>
          <w:bCs w:val="1"/>
          <w:rtl w:val="0"/>
        </w:rPr>
        <w:t xml:space="preserve">Mitigation:</w:t>
      </w:r>
      <w:r w:rsidDel="00000000" w:rsidR="00000000" w:rsidRPr="00000000">
        <w:rPr>
          <w:rtl w:val="0"/>
        </w:rPr>
        <w:t xml:space="preserve"> If external regulatory crawlers detect macro-environmental shifts (e.g., updates to judicial precedents, tax code amendments, or regulatory suspensions), the system initiates a two-layer hold workflow via Amazon Augmented AI (A2I). Affected entities or financial products are placed in a "pending/staging" status, requiring explicit human compliance officer approval before updating the active whitelist UI, ensuring flawless governance.</w:t>
      </w:r>
    </w:p>
    <w:p w:rsidR="00000000" w:rsidDel="00000000" w:rsidP="00000000" w:rsidRDefault="00000000" w:rsidRPr="00000000" w14:paraId="0000001E">
      <w:pPr>
        <w:pStyle w:val="Heading4"/>
        <w:keepNext w:val="0"/>
        <w:keepLines w:val="0"/>
        <w:spacing w:after="40" w:before="0" w:lineRule="auto"/>
        <w:rPr>
          <w:b w:val="1"/>
          <w:bCs w:val="1"/>
          <w:color w:val="000000"/>
          <w:sz w:val="22"/>
          <w:szCs w:val="22"/>
        </w:rPr>
      </w:pPr>
      <w:bookmarkStart w:colFirst="0" w:colLast="0" w:name="_k5x8a4vlklqa" w:id="5"/>
      <w:bookmarkEnd w:id="5"/>
      <w:r w:rsidDel="00000000" w:rsidR="00000000" w:rsidRPr="00000000">
        <w:rPr>
          <w:b w:val="1"/>
          <w:bCs w:val="1"/>
          <w:color w:val="000000"/>
          <w:sz w:val="22"/>
          <w:szCs w:val="22"/>
          <w:rtl w:val="0"/>
        </w:rPr>
        <w:t xml:space="preserve">4. Conclusion &amp; Legal Recommendation</w:t>
      </w:r>
    </w:p>
    <w:p w:rsidR="00000000" w:rsidDel="00000000" w:rsidP="00000000" w:rsidRDefault="00000000" w:rsidRPr="00000000" w14:paraId="0000001F">
      <w:pPr>
        <w:spacing w:after="240" w:lineRule="auto"/>
        <w:rPr/>
      </w:pPr>
      <w:r w:rsidDel="00000000" w:rsidR="00000000" w:rsidRPr="00000000">
        <w:rPr>
          <w:rtl w:val="0"/>
        </w:rPr>
        <w:t xml:space="preserve">The platform’s architectural design successfully encapsulates and immunizes Amazon (AWS) from core antitrust, tax, and financial advisory liabilities. To maintain full compliance, the Sales/BizDev teams will be restricted by a strict internal legal guideline prohibiting any written or verbal communication that conditions the use of GWB upon the termination of competitor cloud contracts (GCP/Azure).</w:t>
      </w:r>
    </w:p>
    <w:p w:rsidR="00000000" w:rsidDel="00000000" w:rsidP="00000000" w:rsidRDefault="00000000" w:rsidRPr="00000000" w14:paraId="00000020">
      <w:pPr>
        <w:spacing w:after="240" w:lineRule="auto"/>
        <w:rPr/>
      </w:pPr>
      <w:r w:rsidDel="00000000" w:rsidR="00000000" w:rsidRPr="00000000">
        <w:rPr>
          <w:b w:val="1"/>
          <w:bCs w:val="1"/>
          <w:rtl w:val="0"/>
        </w:rPr>
        <w:t xml:space="preserve">Recommendation:</w:t>
      </w:r>
      <w:r w:rsidDel="00000000" w:rsidR="00000000" w:rsidRPr="00000000">
        <w:rPr>
          <w:rtl w:val="0"/>
        </w:rPr>
        <w:t xml:space="preserve"> Approve project progression to Phase 1 (US PoC) and Phase 2 (Japan Regulatory Sandbox) concurrently.</w:t>
      </w:r>
    </w:p>
    <w:p w:rsidR="00000000" w:rsidDel="00000000" w:rsidP="00000000" w:rsidRDefault="00000000" w:rsidRPr="00000000" w14:paraId="00000021">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decimal"/>
      <w:lvlText w:val="%3."/>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