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x2ah5t2u8wq0" w:id="0"/>
      <w:bookmarkEnd w:id="0"/>
      <w:r w:rsidDel="00000000" w:rsidR="00000000" w:rsidRPr="00000000">
        <w:rPr>
          <w:rFonts w:ascii="Arial Unicode MS" w:cs="Arial Unicode MS" w:eastAsia="Arial Unicode MS" w:hAnsi="Arial Unicode MS"/>
          <w:b w:val="1"/>
          <w:bCs w:val="1"/>
          <w:rtl w:val="0"/>
        </w:rPr>
        <w:t xml:space="preserve">19_コンプライアンス遵守の誓約書テンプレート 【最新アップデート版（改訂第4版対応）】</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 コンプライアンス遵守の誓約書テンプレート（完全防衛版）</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【社内秘 / 営業担当者用】 本テンプレートは、営業部門（Sales/BizDev）が金融機関に『Generative Wealth Bridge（GWB）』を無料提供する際、独占禁止法（不当な取引制限・抱き合わせ販売）および反トラスト法に抵触することを防ぐため、営業活動の前に法務・コンプライアンス部門へ提出、または営業現場で厳守させるための誓約・ガイドラインである。</w:t>
      </w:r>
    </w:p>
    <w:p w:rsidR="00000000" w:rsidDel="00000000" w:rsidP="00000000" w:rsidRDefault="00000000" w:rsidRPr="00000000" w14:paraId="0000000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クラウドインフラ奪取プロジェクト『GWB』営業活動におけるコンプライアンス遵守誓約書</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【趣旨】</w:t>
      </w:r>
      <w:r w:rsidDel="00000000" w:rsidR="00000000" w:rsidRPr="00000000">
        <w:rPr>
          <w:rFonts w:ascii="Arial Unicode MS" w:cs="Arial Unicode MS" w:eastAsia="Arial Unicode MS" w:hAnsi="Arial Unicode MS"/>
          <w:rtl w:val="0"/>
        </w:rPr>
        <w:t xml:space="preserve"> 本プロジェクトは、無料プロダクト（GWB）をドアオープナーとして金融機関の経営陣にアプローチし、最終的に基幹システム（GCP/Azure）をAmazon Web Services（AWS）へ全面リプレースさせる「データの重力」戦略を採用している。 この際、営業担当者が口頭または書面で「違法な排他条件」を提示した場合、国内外の独占禁止法に抵触し、巨額の罰徴金およびプロジェクト全体の白紙化を招くリスクがある。よって、以下の3カ条を厳守することを誓約する。</w:t>
      </w:r>
    </w:p>
    <w:p w:rsidR="00000000" w:rsidDel="00000000" w:rsidP="00000000" w:rsidRDefault="00000000" w:rsidRPr="00000000" w14:paraId="0000000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第1条（抱き合わせ販売・排他条件付取引の絶対禁止）</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ターゲット金融機関（以下、顧客）に対し、GWBを無料提供する条件として、「現在契約している競合クラウド（GCP/Azure）の解約」や「将来的なAWSへの移行」を明文化された契約条件、または口頭での「必須要件」として提示してはならない。</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 推奨表現】：</w:t>
      </w:r>
      <w:r w:rsidDel="00000000" w:rsidR="00000000" w:rsidRPr="00000000">
        <w:rPr>
          <w:rFonts w:ascii="Arial Unicode MS" w:cs="Arial Unicode MS" w:eastAsia="Arial Unicode MS" w:hAnsi="Arial Unicode MS"/>
          <w:rtl w:val="0"/>
        </w:rPr>
        <w:t xml:space="preserve"> 「本AIツールの性能（リアルタイムのライフログ解析やデータ遅延の最小化、全口座区分の自動整理や高度な税務・繰越控除計算）を100%発揮するための、技術的な推奨インフラがAWSとなっております。インフラの統合によるコスト最適化（Data Transfer料金の削減）のご提案も、別途シミュレーション可能です」</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 禁止される表現】：</w:t>
      </w:r>
      <w:r w:rsidDel="00000000" w:rsidR="00000000" w:rsidRPr="00000000">
        <w:rPr>
          <w:rFonts w:ascii="Arial Unicode MS" w:cs="Arial Unicode MS" w:eastAsia="Arial Unicode MS" w:hAnsi="Arial Unicode MS"/>
          <w:rtl w:val="0"/>
        </w:rPr>
        <w:t xml:space="preserve"> 「AWSへの移行に関する覚書（MOU）を結んでいただけないと、このツールは提供できません」</w:t>
      </w:r>
    </w:p>
    <w:p w:rsidR="00000000" w:rsidDel="00000000" w:rsidP="00000000" w:rsidRDefault="00000000" w:rsidRPr="00000000" w14:paraId="0000000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第2条（中立性プロトコルの仕様厳守と技術的合理性の徹底）</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本システムは金融庁への提出計画に基づき、完全なる『中立・公平なシャッフルロジック（マルチ・ブローカー・プロトコル／オープン・プロバイダー・プロトコル）』で動的に複数提示を行う構造である。よって、顧客からの要望であっても、特定の1社だけを常時固定表示するような個別のシステム改修や恣意的な順位操作に応じてはならない。なお、行政指導や業法上の制裁、税制改定等が発生した事業者・銘柄・取引形態に対する非表示措置については、システム管理画面上の『2レイヤー・ホールド・ワークフロー』に基づき、顧客のコンプライアンス担当者による人的承認を経てのみ執行されるものであり、営業担当者が独断で操作・約束してはならない。 ただし、本システムはコアデータベースを当社のAWSに置いている金融機関ほど、環境跨ぎの通信が発生しないため「技術的遅延（レイテンシー）が極小化され、優れたUX（ユーザー体験）を提供する構造」となっている。営業活動においては、この「技術の質的向上に伴う正当な競争（技術的メリット）」を客観的事実として説明し、不当な優遇措置を疑われるような誤解を招く表現は一切行ってはならない。</w:t>
      </w:r>
    </w:p>
    <w:p w:rsidR="00000000" w:rsidDel="00000000" w:rsidP="00000000" w:rsidRDefault="00000000" w:rsidRPr="00000000" w14:paraId="0000000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第3条（データの重力による経済的説得の徹底）</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競合クラウドからのリプレース（クロージング）は、法的な強制力や契約上の縛りではなく、蓄積されたデータの「Data Transferのアウトバウンド料金（データ転送コスト）の爆発」および「マルチクラウド間連携によるAIのレイテンシー低下」という、純粋な経済的・技術的合理性（データの重力）のみをインサイトとして突く営業スタイルを徹底すること。</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rtl w:val="0"/>
        </w:rPr>
        <w:t xml:space="preserve">上記を違反した場合、プロジェクトの中止および社内規定に基づく厳重な処分を受けることに同意します。</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所属部門：</w:t>
      </w:r>
    </w:p>
    <w:p w:rsidR="00000000" w:rsidDel="00000000" w:rsidP="00000000" w:rsidRDefault="00000000" w:rsidRPr="00000000" w14:paraId="00000010">
      <w:pPr>
        <w:spacing w:after="240" w:lineRule="auto"/>
        <w:rPr/>
      </w:pPr>
      <w:r w:rsidDel="00000000" w:rsidR="00000000" w:rsidRPr="00000000">
        <w:rPr>
          <w:rFonts w:ascii="Arial Unicode MS" w:cs="Arial Unicode MS" w:eastAsia="Arial Unicode MS" w:hAnsi="Arial Unicode MS"/>
          <w:rtl w:val="0"/>
        </w:rPr>
        <w:t xml:space="preserve">氏名（自署）：</w:t>
      </w:r>
    </w:p>
    <w:p w:rsidR="00000000" w:rsidDel="00000000" w:rsidP="00000000" w:rsidRDefault="00000000" w:rsidRPr="00000000" w14:paraId="00000011">
      <w:pPr>
        <w:spacing w:after="240" w:lineRule="auto"/>
        <w:rPr/>
      </w:pPr>
      <w:r w:rsidDel="00000000" w:rsidR="00000000" w:rsidRPr="00000000">
        <w:rPr>
          <w:rFonts w:ascii="Arial Unicode MS" w:cs="Arial Unicode MS" w:eastAsia="Arial Unicode MS" w:hAnsi="Arial Unicode MS"/>
          <w:rtl w:val="0"/>
        </w:rPr>
        <w:t xml:space="preserve">日付： 2026年 ＿＿ 月 ＿＿ 日</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