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bwlij0vj8o9i" w:id="0"/>
      <w:bookmarkEnd w:id="0"/>
      <w:r w:rsidDel="00000000" w:rsidR="00000000" w:rsidRPr="00000000">
        <w:rPr>
          <w:rFonts w:ascii="Arial Unicode MS" w:cs="Arial Unicode MS" w:eastAsia="Arial Unicode MS" w:hAnsi="Arial Unicode MS"/>
          <w:b w:val="1"/>
          <w:bCs w:val="1"/>
          <w:rtl w:val="0"/>
        </w:rPr>
        <w:t xml:space="preserve">20_CFO説得用サマリー文章 【最新アップデート版（改訂第4版対応）】</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 CFO説得用サマリー文章（完全防衛版）</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b w:val="1"/>
          <w:bCs w:val="1"/>
          <w:rtl w:val="0"/>
        </w:rPr>
        <w:t xml:space="preserve">【経営決裁用】インフラ奪取型プロジェクト『GWB』投資回収サマリー</w:t>
      </w:r>
      <w:r w:rsidDel="00000000" w:rsidR="00000000" w:rsidRPr="00000000">
        <w:rPr>
          <w:rFonts w:ascii="Arial Unicode MS" w:cs="Arial Unicode MS" w:eastAsia="Arial Unicode MS" w:hAnsi="Arial Unicode MS"/>
          <w:rtl w:val="0"/>
        </w:rPr>
        <w:t xml:space="preserve"> 起案部門： ビジネス開発部（BizDev） / システムアーキテクチャ部門</w:t>
      </w:r>
    </w:p>
    <w:p w:rsidR="00000000" w:rsidDel="00000000" w:rsidP="00000000" w:rsidRDefault="00000000" w:rsidRPr="00000000" w14:paraId="0000000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1. 投資の結論：単体PL「赤字」による、巨大インフラ「大黒字」の獲得</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rtl w:val="0"/>
        </w:rPr>
        <w:t xml:space="preserve">本プロジェクト『Generative Wealth Bridge（GWB）』は、プロダクト単体の販売利益を追いません。金融機関に「ライセンス無料（利益率ゼロ）」で戦略的提供します。 初期開発費5,000万円および年間運用費1,000万円は、すべて「AWSインフラのリプレース（GCP/Azureからの奪取）」による月間数千万円規模（年間2.4億〜6億円）の新規ストック収入から逆算して「3ヶ月で回収」する超高リターン投資です。</w:t>
      </w:r>
    </w:p>
    <w:p w:rsidR="00000000" w:rsidDel="00000000" w:rsidP="00000000" w:rsidRDefault="00000000" w:rsidRPr="00000000" w14:paraId="0000000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2. フリーミアムに踏み切る財務的・戦略的ロジック</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競合（GCP/Azure）から金融機関の基幹インフラを奪うには、通常のB2B営業では数年のコンサル期間と膨大なコンペコストがかかります。 本企画は、金融機関のCEO/CFOが最も頭を悩ませている「次世代への資産流出（チャーン）」の解決策を「無料」で提示し、意思決定のハードルをゼロにして経営陣の懐に滑り込みます。 契約条件としてAWSの利用を義務付けるようなリーガルリスク（独占禁止法違反）は一切冒さず、他社接続を許容する『オープン・プラグイン・アーキテクチャ』を維持します。その上で、蓄積されたシミュレーションデータがもたらす『データの重力（Data Transfer料金の爆発やマルチクラウド間通信遅延）』により、金融機関側が経済的・技術的合理性に基づいて自発的にAmazon Web Services（AWS）へインフラを完全統合・リプレースせざるを得ない力学構造を成立させます。</w:t>
      </w:r>
    </w:p>
    <w:p w:rsidR="00000000" w:rsidDel="00000000" w:rsidP="00000000" w:rsidRDefault="00000000" w:rsidRPr="00000000" w14:paraId="00000008">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3. 財務リスクヘッジ（コンプライアンスの担保）</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金融ビジネスで最も懸念されるハルシネーション（AIの嘘）による法的リスクおよび税務・レギュラトリーエラーによる財務リスクは、システムレイヤーにおいて物理的・運用的にカプセル化（隔離）されています。 金商法対策として個別銘柄の出力を遮断する『出力検閲フィルター』を実装するほか、税務面では年間110万円の基礎控除額に対する『100万円で事前通知、110万円で自動ホールド』という二段階の物理ロックに加え、日本型全口座区分（一般・特定・新NISA・こどもNISA）の自動識別制御、ミニマムタックス（最低30%課税）回避判定、損益通算・3年繰越控除の最適化計算、および最高裁判決準拠の為替差益自動計算機能をシステムレイヤーへ厳格に組み込んでいます。さらに、行政指導や制度変更、地政学リスク等の不確定要素に対しては『2レイヤー・ホールド・ワークフロー』を配置し、人間の目を介した安全な運用制御を確立しています。不可抗力リスクは、フロント金融機関の持つ堅牢な既存のコンプライアンス・免責スキームにAPIインテグレーション（統合）して外装化させるため、将来的な損害賠償や規制当局からのペナルティによる当社の財務リスクは実質的にゼロ化されています。</w:t>
      </w:r>
    </w:p>
    <w:p w:rsidR="00000000" w:rsidDel="00000000" w:rsidP="00000000" w:rsidRDefault="00000000" w:rsidRPr="00000000" w14:paraId="0000000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4. 投資対効果（ROI）期待値</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初期投資（CapEx）：</w:t>
      </w:r>
      <w:r w:rsidDel="00000000" w:rsidR="00000000" w:rsidRPr="00000000">
        <w:rPr>
          <w:rFonts w:ascii="Arial Unicode MS" w:cs="Arial Unicode MS" w:eastAsia="Arial Unicode MS" w:hAnsi="Arial Unicode MS"/>
          <w:rtl w:val="0"/>
        </w:rPr>
        <w:t xml:space="preserve"> 5,000万円（既存AWSモジュールの流用により最小化）</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1社あたり年間インフラ収入：</w:t>
      </w:r>
      <w:r w:rsidDel="00000000" w:rsidR="00000000" w:rsidRPr="00000000">
        <w:rPr>
          <w:rFonts w:ascii="Arial Unicode MS" w:cs="Arial Unicode MS" w:eastAsia="Arial Unicode MS" w:hAnsi="Arial Unicode MS"/>
          <w:rtl w:val="0"/>
        </w:rPr>
        <w:t xml:space="preserve"> 2.4億円 〜 6.0億円（AWSへの完全リプレース成功時）</w:t>
      </w:r>
    </w:p>
    <w:p w:rsidR="00000000" w:rsidDel="00000000" w:rsidP="00000000" w:rsidRDefault="00000000" w:rsidRPr="00000000" w14:paraId="0000000D">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損益分岐点（BEP）：</w:t>
      </w:r>
      <w:r w:rsidDel="00000000" w:rsidR="00000000" w:rsidRPr="00000000">
        <w:rPr>
          <w:rFonts w:ascii="Arial Unicode MS" w:cs="Arial Unicode MS" w:eastAsia="Arial Unicode MS" w:hAnsi="Arial Unicode MS"/>
          <w:rtl w:val="0"/>
        </w:rPr>
        <w:t xml:space="preserve"> ターゲット金融機関10社中、「わずか1社」のリプレース成功でプロジェクト全体の全投資を回収し、大黒字へ転換。</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