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o7al1wnomu04" w:id="0"/>
      <w:bookmarkEnd w:id="0"/>
      <w:r w:rsidDel="00000000" w:rsidR="00000000" w:rsidRPr="00000000">
        <w:rPr>
          <w:rFonts w:ascii="Arial Unicode MS" w:cs="Arial Unicode MS" w:eastAsia="Arial Unicode MS" w:hAnsi="Arial Unicode MS"/>
          <w:b w:val="1"/>
          <w:bCs w:val="1"/>
          <w:rtl w:val="0"/>
        </w:rPr>
        <w:t xml:space="preserve">22_GWB 行政説明資料【最新アップデート版（改訂第4版対応）】</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 金融庁（FSA）提出用 A4概要書（レジュメ）</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【行政説明資料】 日時： 202x年xx月 提出者： アマゾン ウェブ サービス ジャパン合同会社（AWS Japan） 金融ソリューション政策推進班 件名： 産官学連携による次世代金融教育サンドボックスを活用した、家庭内資産の健全な次世代還流促進（構成案）</w:t>
      </w:r>
    </w:p>
    <w:p w:rsidR="00000000" w:rsidDel="00000000" w:rsidP="00000000" w:rsidRDefault="00000000" w:rsidRPr="00000000" w14:paraId="0000000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1. 本提案の背景と我が国における構造的課題</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教育現場の課題：</w:t>
      </w:r>
      <w:r w:rsidDel="00000000" w:rsidR="00000000" w:rsidRPr="00000000">
        <w:rPr>
          <w:rFonts w:ascii="Arial Unicode MS" w:cs="Arial Unicode MS" w:eastAsia="Arial Unicode MS" w:hAnsi="Arial Unicode MS"/>
          <w:rtl w:val="0"/>
        </w:rPr>
        <w:t xml:space="preserve"> 高校の「金融経済教育」義務化以降、専門知識を持つ教員のリソース不足により、教育現場における実効性のあるカリキュラム運営の難易度が向上している。</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家計資産の流動性：</w:t>
      </w:r>
      <w:r w:rsidDel="00000000" w:rsidR="00000000" w:rsidRPr="00000000">
        <w:rPr>
          <w:rFonts w:ascii="Arial Unicode MS" w:cs="Arial Unicode MS" w:eastAsia="Arial Unicode MS" w:hAnsi="Arial Unicode MS"/>
          <w:rtl w:val="0"/>
        </w:rPr>
        <w:t xml:space="preserve"> 高齢者層が保有する「1,000兆円超の現預金」が、親族間での生前贈与の手続きの煩雑さや心理的ハードルに加え、日本特有の複雑な各種口座（新NISA/特定/一般）や税制（ミニマムタックス・損益通算等）への不安を主因として、次世代の生産的な長期投資へ健全に還流していない。</w:t>
      </w:r>
    </w:p>
    <w:p w:rsidR="00000000" w:rsidDel="00000000" w:rsidP="00000000" w:rsidRDefault="00000000" w:rsidRPr="00000000" w14:paraId="0000000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2. 解決策：中立テックによる「リスクゼロ」の体験型金融教育プラットフォーム</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民間企業の特定の営利プロモーションから独立した、AWSという「中立なプラットフォーマー」が提供するデジタル副読本（サンドボックス環境）を構築する。</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定性ログ解析による教育：</w:t>
      </w:r>
      <w:r w:rsidDel="00000000" w:rsidR="00000000" w:rsidRPr="00000000">
        <w:rPr>
          <w:rFonts w:ascii="Arial Unicode MS" w:cs="Arial Unicode MS" w:eastAsia="Arial Unicode MS" w:hAnsi="Arial Unicode MS"/>
          <w:rtl w:val="0"/>
        </w:rPr>
        <w:t xml:space="preserve"> 抽象的な投資データは排除し、子供の日々の「お小遣い（選択のトレードオフ）」の流動性と機会損失のログをAIが解析。安全な金融リテラシーのブリッジを行う。</w:t>
      </w:r>
    </w:p>
    <w:p w:rsidR="00000000" w:rsidDel="00000000" w:rsidP="00000000" w:rsidRDefault="00000000" w:rsidRPr="00000000" w14:paraId="0000000A">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学校・家庭の教育リソース負担ゼロ：</w:t>
      </w:r>
      <w:r w:rsidDel="00000000" w:rsidR="00000000" w:rsidRPr="00000000">
        <w:rPr>
          <w:rFonts w:ascii="Arial Unicode MS" w:cs="Arial Unicode MS" w:eastAsia="Arial Unicode MS" w:hAnsi="Arial Unicode MS"/>
          <w:rtl w:val="0"/>
        </w:rPr>
        <w:t xml:space="preserve"> 子供たちがゲーム感覚でシステムに触れるだけで、金融庁の掲げる「投資教育の理念」が家庭内に自然浸透する仕組みを確立。</w:t>
      </w:r>
    </w:p>
    <w:p w:rsidR="00000000" w:rsidDel="00000000" w:rsidP="00000000" w:rsidRDefault="00000000" w:rsidRPr="00000000" w14:paraId="0000000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3. コンプライアンスのカプセル化（リーガル＆タックス・ガードレール）</w:t>
      </w:r>
    </w:p>
    <w:p w:rsidR="00000000" w:rsidDel="00000000" w:rsidP="00000000" w:rsidRDefault="00000000" w:rsidRPr="00000000" w14:paraId="0000000C">
      <w:pPr>
        <w:spacing w:after="240" w:lineRule="auto"/>
        <w:rPr/>
      </w:pPr>
      <w:r w:rsidDel="00000000" w:rsidR="00000000" w:rsidRPr="00000000">
        <w:rPr>
          <w:rFonts w:ascii="Arial Unicode MS" w:cs="Arial Unicode MS" w:eastAsia="Arial Unicode MS" w:hAnsi="Arial Unicode MS"/>
          <w:rtl w:val="0"/>
        </w:rPr>
        <w:t xml:space="preserve">行政・教育現場が懸念する法的・税務的リスクを、システムレイヤーにおいて物理的にカプセル化（完全自動排除）する。</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r w:rsidDel="00000000" w:rsidR="00000000" w:rsidRPr="00000000">
        <w:rPr>
          <w:rFonts w:ascii="Arial Unicode MS" w:cs="Arial Unicode MS" w:eastAsia="Arial Unicode MS" w:hAnsi="Arial Unicode MS"/>
          <w:rtl w:val="0"/>
        </w:rPr>
        <w:t xml:space="preserve"> AIの出力層に検閲ロック（出力検閲フィルター）を実装。「特定個別銘柄の推奨」や「断定的利益の約束」を物理的に遮断する仕組みを検証し、金融商品取引法（投資助言規制）の完全な非該当性を担保する。</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【税務エラーの自動ホールド】：</w:t>
      </w:r>
      <w:r w:rsidDel="00000000" w:rsidR="00000000" w:rsidRPr="00000000">
        <w:rPr>
          <w:rFonts w:ascii="Arial Unicode MS" w:cs="Arial Unicode MS" w:eastAsia="Arial Unicode MS" w:hAnsi="Arial Unicode MS"/>
          <w:rtl w:val="0"/>
        </w:rPr>
        <w:t xml:space="preserve"> 「暦年贈与の基礎控除額（年間110万円）」をシステムの絶対バウンダリ（境界線）として固定。累積投資額が100万円に達した時点で「スマート通知」を行い、110万円を突破するトランザクションはシステムレイヤー（エッジ層）側で自動ホールド（物理ロック）し、意図せぬ贈与税発生エラーを未然に防ぐ。</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【高度税務エンジンの標準実装】：</w:t>
      </w:r>
      <w:r w:rsidDel="00000000" w:rsidR="00000000" w:rsidRPr="00000000">
        <w:rPr>
          <w:rFonts w:ascii="Arial Unicode MS" w:cs="Arial Unicode MS" w:eastAsia="Arial Unicode MS" w:hAnsi="Arial Unicode MS"/>
          <w:rtl w:val="0"/>
        </w:rPr>
        <w:t xml:space="preserve"> 日本固有の全口座区分（一般・特定・新NISA・こどもNISA）の自動識別制御、高額所得者層向けのミニマムタックス（最低30%課税）適用判定、損益通算および3年間繰越控除の最適化計算、最高裁判決に完全準拠した為替差益追跡機能を搭載。複雑な税務申告エラーや課税漏れリスクをシステム層で自動排除する。</w:t>
      </w:r>
    </w:p>
    <w:p w:rsidR="00000000" w:rsidDel="00000000" w:rsidP="00000000" w:rsidRDefault="00000000" w:rsidRPr="00000000" w14:paraId="0000001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4. 行政の中立性担保（マルチ・ブローカー・プロトコル）</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中立性・公平性の担保：</w:t>
      </w:r>
      <w:r w:rsidDel="00000000" w:rsidR="00000000" w:rsidRPr="00000000">
        <w:rPr>
          <w:rFonts w:ascii="Arial Unicode MS" w:cs="Arial Unicode MS" w:eastAsia="Arial Unicode MS" w:hAnsi="Arial Unicode MS"/>
          <w:rtl w:val="0"/>
        </w:rPr>
        <w:t xml:space="preserve"> 本システムから実際の新規口座開設フォーム（外部サイト）へリダイレクトする動線は、特定の民間金融機関に固定・優遇しない。</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マルチ・ブローカー・プロトコル：</w:t>
      </w:r>
      <w:r w:rsidDel="00000000" w:rsidR="00000000" w:rsidRPr="00000000">
        <w:rPr>
          <w:rFonts w:ascii="Arial Unicode MS" w:cs="Arial Unicode MS" w:eastAsia="Arial Unicode MS" w:hAnsi="Arial Unicode MS"/>
          <w:rtl w:val="0"/>
        </w:rPr>
        <w:t xml:space="preserve"> 金融庁の「認可業者リスト（ホワイトリスト）」に基づき、居住地や既存口座のUIDをベースに動的に複数提示（シャッフル表示）を行う「中立プロバイダ・プロトコル」を実装し、市場の公正な競争環境を維持する。</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