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0" w:lineRule="auto"/>
        <w:rPr>
          <w:b w:val="1"/>
          <w:bCs w:val="1"/>
        </w:rPr>
      </w:pPr>
      <w:bookmarkStart w:colFirst="0" w:colLast="0" w:name="_m4p3h2j3gjtd" w:id="0"/>
      <w:bookmarkEnd w:id="0"/>
      <w:r w:rsidDel="00000000" w:rsidR="00000000" w:rsidRPr="00000000">
        <w:rPr>
          <w:rFonts w:ascii="Arial Unicode MS" w:cs="Arial Unicode MS" w:eastAsia="Arial Unicode MS" w:hAnsi="Arial Unicode MS"/>
          <w:b w:val="1"/>
          <w:bCs w:val="1"/>
          <w:rtl w:val="0"/>
        </w:rPr>
        <w:t xml:space="preserve">23_GWB プロジェクト内部統制資料【最新アップデート版（改訂第4版対応）】</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 CFOからの想定問答集（FAQ：完全防衛版）</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本プロジェクト『GWB』の投資承認・取締役会提出に向け、CFO（最高財務責任者）および投資委員会から高確率で飛んでくる「財務・コンプライアンス面での突っ込み」に対する、確実な切り返し（ディフェンス）トーク集である。</w:t>
      </w:r>
    </w:p>
    <w:p w:rsidR="00000000" w:rsidDel="00000000" w:rsidP="00000000" w:rsidRDefault="00000000" w:rsidRPr="00000000" w14:paraId="00000004">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Q1. 【投資対効果の確実性と経済的合理性】</w:t>
      </w:r>
    </w:p>
    <w:p w:rsidR="00000000" w:rsidDel="00000000" w:rsidP="00000000" w:rsidRDefault="00000000" w:rsidRPr="00000000" w14:paraId="0000000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Fonts w:ascii="Arial Unicode MS" w:cs="Arial Unicode MS" w:eastAsia="Arial Unicode MS" w:hAnsi="Arial Unicode MS"/>
          <w:rtl w:val="0"/>
        </w:rPr>
        <w:t xml:space="preserve"> 「プロダクトを完全に無償提供するとのことだが、フロント開発に5,000万円を投じた後、ターゲットの金融機関（GCP/Azure採用企業）が本当にAWSインフラへリプレースしてくれる保証はあるのか？ もし無料ツールだけを利用された場合の財務的ペナルティはあるのか？」</w:t>
      </w:r>
    </w:p>
    <w:p w:rsidR="00000000" w:rsidDel="00000000" w:rsidP="00000000" w:rsidRDefault="00000000" w:rsidRPr="00000000" w14:paraId="00000006">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Fonts w:ascii="Arial Unicode MS" w:cs="Arial Unicode MS" w:eastAsia="Arial Unicode MS" w:hAnsi="Arial Unicode MS"/>
          <w:rtl w:val="0"/>
        </w:rPr>
        <w:t xml:space="preserve"> 「結論から申し上げますと、契約上のペナルティによる強制ではなく、蓄積されたデータの『経済的・技術的合理性（データの重力）』が自発的なリプレースを促す構造となっております。 金融機関が本システムを導入し、数万人〜数十万人のライフログやシミュレーションデータが蓄積されると、そのデータ群は当社の高効率なインフラ（Amazon Redshift/Amazon Bedrock）上にセキュアに保持されます。仮に金融機関が、他社インフラ環境へそのデータを跨いでエクスポート・連携させようとした場合、環境間通信に伴う莫大なデータ転送料（Data Transferのアウトバウンド料金）の発生や、リアルタイム処理の技術的遅延（レイテンシー低下）という、彼らにとっての多大な経済的・技術的不利益が発生します。 したがって、利用規約上で違法性を疑われるような排他条件や財務的違約金を設ける必要は一切なく、『インフラの一元統合によるコスト最適化およびUX向上』という純粋な市場力学によって、AWSへのリプレース成功率を極めて高く担保できる設計です」</w:t>
      </w:r>
    </w:p>
    <w:p w:rsidR="00000000" w:rsidDel="00000000" w:rsidP="00000000" w:rsidRDefault="00000000" w:rsidRPr="00000000" w14:paraId="00000007">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Q2. 【日米の並行開発コストと機会損失リスク】</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Fonts w:ascii="Arial Unicode MS" w:cs="Arial Unicode MS" w:eastAsia="Arial Unicode MS" w:hAnsi="Arial Unicode MS"/>
          <w:rtl w:val="0"/>
        </w:rPr>
        <w:t xml:space="preserve"> 「Phase 1（米国）の検証が終わる前に、Phase 2（日本）の行政説明やモック開発を並行して走らせると、初期のCapEx（開発・人件費）が膨らむ。米国で失敗した場合の減損リスクを避けるため、フェーズを完全に分けるべきではないか？」</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Fonts w:ascii="Arial Unicode MS" w:cs="Arial Unicode MS" w:eastAsia="Arial Unicode MS" w:hAnsi="Arial Unicode MS"/>
          <w:rtl w:val="0"/>
        </w:rPr>
        <w:t xml:space="preserve"> 「おっしゃる通り、通常のプロダクトであればシーケンシャル（段階的）に進めるべきです。しかし本案件に限っては、日本国内の『高校金融経済教育における義務化と現場のリソース不足』という、国策に対応する市場の窓が今まさに開いている状態です。 米国の実績を待っていては、国内ベンチャーや競合（GCP/Azure連合）に実証実験の『公認枠』を先に押さえられる致命的な機会コストが発生します。日本版の初期開発は、米国版の共通コア・アルゴリズム（OSレイヤー）を100%流用するため、追加の開発コストは最小限（フロントUIのローカライズや日本固有の全口座区分・税務計算エンジンのモジュール組み込み程度）に抑えられます。最小の追加投資で日本における先行者利益を確実にロックできるため、並行して走らせる方が財務的にもリスクは低いと判断しています」</w:t>
      </w:r>
    </w:p>
    <w:p w:rsidR="00000000" w:rsidDel="00000000" w:rsidP="00000000" w:rsidRDefault="00000000" w:rsidRPr="00000000" w14:paraId="0000000A">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Q3. 【独占禁止法・反トラスト法およびアルゴリズムの客観性】</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質問（CFO）：</w:t>
      </w:r>
      <w:r w:rsidDel="00000000" w:rsidR="00000000" w:rsidRPr="00000000">
        <w:rPr>
          <w:rFonts w:ascii="Arial Unicode MS" w:cs="Arial Unicode MS" w:eastAsia="Arial Unicode MS" w:hAnsi="Arial Unicode MS"/>
          <w:rtl w:val="0"/>
        </w:rPr>
        <w:t xml:space="preserve"> 「マルチ・ブローカー・プロトコルの裏側で、インフラの採用状況に応じたスコアリングの力学が働く仕様は、万が一公正取引委員会や米FTCから監査が入った場合、リーガルリスクや巨額の罰徴金リスクになるのではないか？」</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回答（BizDev）：</w:t>
      </w:r>
      <w:r w:rsidDel="00000000" w:rsidR="00000000" w:rsidRPr="00000000">
        <w:rPr>
          <w:rFonts w:ascii="Arial Unicode MS" w:cs="Arial Unicode MS" w:eastAsia="Arial Unicode MS" w:hAnsi="Arial Unicode MS"/>
          <w:rtl w:val="0"/>
        </w:rPr>
        <w:t xml:space="preserve"> 「法務・コンプライアンス部門と厳密に精査した結果、そのリーガルリスクは完全に排除されていると評価しています。 本システムは、金融庁の認可業者リストに基づく『完全なマルチ・ブローカー・プロトコル（公平な動的提示）』を実装しており、特定の金融機関を恣意的に優遇するような静的コードは一切存在しません。 ただし、コアデータベースを当社のAWSに置いている金融機関ほど、環境跨ぎの通信が発生しないため『技術的遅延（レイテンシー）が極小化され、結果として機械学習モデルが算出するUXスコア（評価）が圧倒的に向上する』という、純粋な技術的・客観的合理性の力学が働きます。これは日米両国の法律上、正当な『技術の質的向上に伴う競争』と定義されるため、競合からの訴訟や当局からの指摘は構造的に発生しません。 さらに、AIの出力検閲や暦年贈与の二段階物理ロックに加え、各種口座区分やミニマムタックス・損益通算等の高度税務ロジックをシステム層で担保することで税務トラブルリスクを未然に遮断します。また営業現場に対して『他社クラウドの解約』等の排他条件の提示を一切禁止する誓約書（ガバナンスツール）を徹底するため、不当な取引制限に該当するリスクも100%コントロール可能です」</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