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jtr45elpja4" w:id="0"/>
      <w:bookmarkEnd w:id="0"/>
      <w:r w:rsidDel="00000000" w:rsidR="00000000" w:rsidRPr="00000000">
        <w:rPr>
          <w:rFonts w:ascii="Arial Unicode MS" w:cs="Arial Unicode MS" w:eastAsia="Arial Unicode MS" w:hAnsi="Arial Unicode MS"/>
          <w:b w:val="1"/>
          <w:bCs w:val="1"/>
          <w:sz w:val="46"/>
          <w:szCs w:val="46"/>
          <w:rtl w:val="0"/>
        </w:rPr>
        <w:t xml:space="preserve">02_コンプライアンス＆リスク管理解説書</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2e5rq6wk9439" w:id="1"/>
      <w:bookmarkEnd w:id="1"/>
      <w:r w:rsidDel="00000000" w:rsidR="00000000" w:rsidRPr="00000000">
        <w:rPr>
          <w:rFonts w:ascii="Arial Unicode MS" w:cs="Arial Unicode MS" w:eastAsia="Arial Unicode MS" w:hAnsi="Arial Unicode MS"/>
          <w:b w:val="1"/>
          <w:bCs w:val="1"/>
          <w:color w:val="000000"/>
          <w:sz w:val="26"/>
          <w:szCs w:val="26"/>
          <w:rtl w:val="0"/>
        </w:rPr>
        <w:t xml:space="preserve">1. 共通コア・アルゴリズムにおけるリスク排除</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入力層（子供・外部環境）:</w:t>
      </w:r>
      <w:r w:rsidDel="00000000" w:rsidR="00000000" w:rsidRPr="00000000">
        <w:rPr>
          <w:rFonts w:ascii="Arial Unicode MS" w:cs="Arial Unicode MS" w:eastAsia="Arial Unicode MS" w:hAnsi="Arial Unicode MS"/>
          <w:rtl w:val="0"/>
        </w:rPr>
        <w:t xml:space="preserve"> 抽象的な投資データは一切排除し、日々の「お小遣い」のトレードオフ（流動性と機会損失の選択ログ）のみを定性入力として受け付ける。また、適時開示、官報、規制当局の発信情報、税務判例、金融庁・税制調査会の最低負担税率見直し検討等の外部レギュラトリー・データソースをリアルタイムにクローリングするインプットパイプを配備する。</w:t>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変換層（AI）:</w:t>
      </w:r>
      <w:r w:rsidDel="00000000" w:rsidR="00000000" w:rsidRPr="00000000">
        <w:rPr>
          <w:rFonts w:ascii="Arial Unicode MS" w:cs="Arial Unicode MS" w:eastAsia="Arial Unicode MS" w:hAnsi="Arial Unicode MS"/>
          <w:rtl w:val="0"/>
        </w:rPr>
        <w:t xml:space="preserve"> 「逆張り」等の初心者向けハイリスク行動（エラー）をハードコードで排除する。子供のマイクロな生活ログから「選択の揺らぎ・堅実性」を解析し、親への実行シグナルへと1ウェイでルーティングする。同時に、外部データから特定の銘柄や金融機関に関連する「経済制裁」「行政指導による業務停止命令」「上場廃止」「税制・最高裁判決等の課税変更・ミニマムタックス強化」のリスク因子を検知・プロファイリングする。</w:t>
      </w:r>
    </w:p>
    <w:p w:rsidR="00000000" w:rsidDel="00000000" w:rsidP="00000000" w:rsidRDefault="00000000" w:rsidRPr="00000000" w14:paraId="00000005">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出力層（親・管理者）:</w:t>
      </w:r>
      <w:r w:rsidDel="00000000" w:rsidR="00000000" w:rsidRPr="00000000">
        <w:rPr>
          <w:rFonts w:ascii="Arial Unicode MS" w:cs="Arial Unicode MS" w:eastAsia="Arial Unicode MS" w:hAnsi="Arial Unicode MS"/>
          <w:rtl w:val="0"/>
        </w:rPr>
        <w:t xml:space="preserve"> 親コンソールには「我が子の選択傾向から見る将来の資産形成シミュレーション」を出力し、テーマは常に「安全な次世代への資産・リテラシーのブリッジ」に固定する。レギュラトリーリスクや過重課税リスク（最低負担税率強化による将来の増税影響）を検知した場合は、親へのシミュレーション表示を即座に変調させるとともに、金融機関の「管理者コンソール」へアラートを排他的にルーティングする。</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otp4bal7lafo" w:id="2"/>
      <w:bookmarkEnd w:id="2"/>
      <w:r w:rsidDel="00000000" w:rsidR="00000000" w:rsidRPr="00000000">
        <w:rPr>
          <w:rFonts w:ascii="Arial Unicode MS" w:cs="Arial Unicode MS" w:eastAsia="Arial Unicode MS" w:hAnsi="Arial Unicode MS"/>
          <w:b w:val="1"/>
          <w:bCs w:val="1"/>
          <w:color w:val="000000"/>
          <w:sz w:val="26"/>
          <w:szCs w:val="26"/>
          <w:rtl w:val="0"/>
        </w:rPr>
        <w:t xml:space="preserve">2. リーガル＆タックス・ゲートウェイ（コンプライアンスのカプセル化 &amp; 全口座属性適合）</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投資助言リスクの排除:</w:t>
      </w:r>
      <w:r w:rsidDel="00000000" w:rsidR="00000000" w:rsidRPr="00000000">
        <w:rPr>
          <w:rFonts w:ascii="Arial Unicode MS" w:cs="Arial Unicode MS" w:eastAsia="Arial Unicode MS" w:hAnsi="Arial Unicode MS"/>
          <w:rtl w:val="0"/>
        </w:rPr>
        <w:t xml:space="preserve"> 金融商品取引法や投資助言（米国SEC/FINRA規制）にまつわる法的責任は、フロントに立つ金融機関の既存の免責・コンプライアンスレイヤーに完全に準拠させる。AIのアウトプット層に「特定個別銘柄の推奨」や「断定的利益の約束」を絶対に吐き出させないための「物理的なハード・ガードレール（出力検閲ロック）」を実装する。</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こどもNISA・つみたて投資枠ハードロック（成長投資枠の物理遮断）:</w:t>
      </w:r>
      <w:r w:rsidDel="00000000" w:rsidR="00000000" w:rsidRPr="00000000">
        <w:rPr>
          <w:rFonts w:ascii="Arial Unicode MS" w:cs="Arial Unicode MS" w:eastAsia="Arial Unicode MS" w:hAnsi="Arial Unicode MS"/>
          <w:rtl w:val="0"/>
        </w:rPr>
        <w:t xml:space="preserve"> こどもNISA制度下において、個別株やアクティブファンド等の「成長投資枠」に該当する金融商品の選択動線および発注シグナルをハードコードで完全に遮断する。積立投資対象（長期・積立・分散投資に適した公募投資信託等）のみに選択肢を物理限定し、誤発注や制度違反リスクをシステムレベルで排除する。</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口座属性（NISA・特定・一般）識別＆ミニマムタックス強化対応・将来30%課税シミュレーション:</w:t>
      </w:r>
      <w:r w:rsidDel="00000000" w:rsidR="00000000" w:rsidRPr="00000000">
        <w:rPr>
          <w:rFonts w:ascii="Arial Unicode MS" w:cs="Arial Unicode MS" w:eastAsia="Arial Unicode MS" w:hAnsi="Arial Unicode MS"/>
          <w:rtl w:val="0"/>
        </w:rPr>
        <w:t xml:space="preserve"> 投資対象口座の自動判別に加え、現行の20.315%課税だけでなく金融機関側で設定された「将来税率（30%等）」のパラメータに応じた税後実質利回りを動的試算。ミニマムタックス（最低負担税率）強化等の増税リスクを踏まえた現実的な資産形成シナリオを出力する。</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米国ウォッシュセール（Wash Sale）制御・自動検知＆日米税制補正エンジン:</w:t>
      </w:r>
      <w:r w:rsidDel="00000000" w:rsidR="00000000" w:rsidRPr="00000000">
        <w:rPr>
          <w:rFonts w:ascii="Arial Unicode MS" w:cs="Arial Unicode MS" w:eastAsia="Arial Unicode MS" w:hAnsi="Arial Unicode MS"/>
          <w:rtl w:val="0"/>
        </w:rPr>
        <w:t xml:space="preserve"> 米国株・米国ETF等の取引において、売却前後の30日間（計61日間）における同一・実質同一銘柄の買い戻しをリアルタイムで自動検知・監視。損失の即時計上禁止と取得原価加算処理、および日本国内の損益通算・確定申告ルールとのギャップ補正算定を自動で行い、税務不備や二重課税リスクを防止する。短期クロス取引に対する注意勧告アラートも出力する。</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マルチ口座「通算損益」・繰越控除トラッキング:</w:t>
      </w:r>
      <w:r w:rsidDel="00000000" w:rsidR="00000000" w:rsidRPr="00000000">
        <w:rPr>
          <w:rFonts w:ascii="Arial Unicode MS" w:cs="Arial Unicode MS" w:eastAsia="Arial Unicode MS" w:hAnsi="Arial Unicode MS"/>
          <w:rtl w:val="0"/>
        </w:rPr>
        <w:t xml:space="preserve"> NISA外の課税口座における譲渡損益・配当金をリアルタイムで損益通算。最長3年間の繰越損失との相殺による確定申告時の控除メリットを可視化し、適切な税務ガバナンスを提供する。</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税務境界値（年間110万円 / こどもNISA枠60万円）のハードロック:</w:t>
      </w:r>
      <w:r w:rsidDel="00000000" w:rsidR="00000000" w:rsidRPr="00000000">
        <w:rPr>
          <w:rFonts w:ascii="Arial Unicode MS" w:cs="Arial Unicode MS" w:eastAsia="Arial Unicode MS" w:hAnsi="Arial Unicode MS"/>
          <w:rtl w:val="0"/>
        </w:rPr>
        <w:t xml:space="preserve"> 日本市場版においては、「暦年贈与の基礎控除額（年間110万円）」および「こどもNISA年間非課税枠（年間60万円）」をシステム上の絶対的な境界値（バウンダリ）としてハードコードする。年間累積投資・贈与額が境界値に接近した時点で親コンソールへ「税制上の上限接近」をスマート通知し、境界値を突破するトランザクションはシステム側で自動ホールド（物理ロック）し、金融機関の税務コンサルティング動線へ最適ルーティングする。</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為替差益自動トラッキング＆雑所得検知モジュール（最高裁判決対応）:</w:t>
      </w:r>
      <w:r w:rsidDel="00000000" w:rsidR="00000000" w:rsidRPr="00000000">
        <w:rPr>
          <w:rFonts w:ascii="Arial Unicode MS" w:cs="Arial Unicode MS" w:eastAsia="Arial Unicode MS" w:hAnsi="Arial Unicode MS"/>
          <w:rtl w:val="0"/>
        </w:rPr>
        <w:t xml:space="preserve"> ドル建て資産（米株・外貨建て投資信託等）の売却や他銘柄への乗り換え時、ドル保有期間中に生じた「為替差益（雑所得・総合課税対象）」をバックエンドでリアルタイムに自動算定する。個人の「積立・分散買い（ちょこちょこ貯める運用）」によって管理が不可能なほど複雑化する平均取得単価（移動平均法／総平均法）をシステム側で完結計算し、雑所得が確定申告ライン（20万円）に接近した段階でユーザーおよび金融機関管理者へ事前アラートを出力する。</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rdhvvh6mwa7a" w:id="3"/>
      <w:bookmarkEnd w:id="3"/>
      <w:r w:rsidDel="00000000" w:rsidR="00000000" w:rsidRPr="00000000">
        <w:rPr>
          <w:rFonts w:ascii="Arial Unicode MS" w:cs="Arial Unicode MS" w:eastAsia="Arial Unicode MS" w:hAnsi="Arial Unicode MS"/>
          <w:b w:val="1"/>
          <w:bCs w:val="1"/>
          <w:color w:val="000000"/>
          <w:sz w:val="26"/>
          <w:szCs w:val="26"/>
          <w:rtl w:val="0"/>
        </w:rPr>
        <w:t xml:space="preserve">3. スマート電子都度贈与・定期贈与判定回避ワークフロー</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親子間贈与において最も税務トラブルになりやすい「定期贈与（一括課税リスク）」および「名義預金認定」を未然に回避するため、バックエンドで以下の自動制御プロトコルを実行する。</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スマート電子贈与契約・タイムスタンプ:</w:t>
      </w:r>
      <w:r w:rsidDel="00000000" w:rsidR="00000000" w:rsidRPr="00000000">
        <w:rPr>
          <w:rFonts w:ascii="Arial Unicode MS" w:cs="Arial Unicode MS" w:eastAsia="Arial Unicode MS" w:hAnsi="Arial Unicode MS"/>
          <w:rtl w:val="0"/>
        </w:rPr>
        <w:t xml:space="preserve"> 親コンソールでの資金移動指示時に、暗号化電子署名とタイムスタンプが付与された「都度贈与合意書データ」をバックエンドで即時自動生成・保存し、税務調査時の客観的証拠（エビデンス）を確保する。</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贈与実行パルス（ゆらぎ制御）:</w:t>
      </w:r>
      <w:r w:rsidDel="00000000" w:rsidR="00000000" w:rsidRPr="00000000">
        <w:rPr>
          <w:rFonts w:ascii="Arial Unicode MS" w:cs="Arial Unicode MS" w:eastAsia="Arial Unicode MS" w:hAnsi="Arial Unicode MS"/>
          <w:rtl w:val="0"/>
        </w:rPr>
        <w:t xml:space="preserve"> 毎月同額・同日の定期送金ではなく、子供の学習ログ・お手伝い実績等に連動させて金額および実行時期に動的な「ゆらぎ（変調）」を加えて送金処理をルーティングし、「あらかじめ定められた定期金給付契約」との判定を物理的に回避する。</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目的別マルチカテゴリタグ付け:</w:t>
      </w:r>
      <w:r w:rsidDel="00000000" w:rsidR="00000000" w:rsidRPr="00000000">
        <w:rPr>
          <w:rFonts w:ascii="Arial Unicode MS" w:cs="Arial Unicode MS" w:eastAsia="Arial Unicode MS" w:hAnsi="Arial Unicode MS"/>
          <w:rtl w:val="0"/>
        </w:rPr>
        <w:t xml:space="preserve"> 親からの資金投入ログに対し、「お小遣い対価」「金融教材資材費」「自立支援暦年贈与」の属性タグをAIが自動付与してメタデータ化し、社会通念上高額とみなされやすい金銭移動に対する明確な使途分類を立証する。</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wyjxhewwanmb" w:id="4"/>
      <w:bookmarkEnd w:id="4"/>
      <w:r w:rsidDel="00000000" w:rsidR="00000000" w:rsidRPr="00000000">
        <w:rPr>
          <w:rFonts w:ascii="Arial Unicode MS" w:cs="Arial Unicode MS" w:eastAsia="Arial Unicode MS" w:hAnsi="Arial Unicode MS"/>
          <w:b w:val="1"/>
          <w:bCs w:val="1"/>
          <w:color w:val="000000"/>
          <w:sz w:val="26"/>
          <w:szCs w:val="26"/>
          <w:rtl w:val="0"/>
        </w:rPr>
        <w:t xml:space="preserve">4. レギュラトリー・リスク・ゲートウェイ（可変型ガードレール）</w:t>
      </w:r>
    </w:p>
    <w:p w:rsidR="00000000" w:rsidDel="00000000" w:rsidP="00000000" w:rsidRDefault="00000000" w:rsidRPr="00000000" w14:paraId="00000014">
      <w:pPr>
        <w:numPr>
          <w:ilvl w:val="0"/>
          <w:numId w:val="2"/>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重大リスクのアラート制御:</w:t>
      </w:r>
      <w:r w:rsidDel="00000000" w:rsidR="00000000" w:rsidRPr="00000000">
        <w:rPr>
          <w:rFonts w:ascii="Arial Unicode MS" w:cs="Arial Unicode MS" w:eastAsia="Arial Unicode MS" w:hAnsi="Arial Unicode MS"/>
          <w:rtl w:val="0"/>
        </w:rPr>
        <w:t xml:space="preserve"> 「経済制裁」「行政指導による業務停止命令」「上場廃止」「最高裁判決・税制変更に伴う課税ガイドライン変更（ミニマムタックス強化による将来30%課税設定含む）」といった、自動の数値閾値だけでは判定できないマクロリスクに対し、AIが検知したリスクシグナルを「ステージング（保留）状態」として捕獲・検知するゲートウェイを構築する。自動遮断ではなく、金融機関側の意思決定（人間のチェック）を介在させるためのセミオート動線として機能させる。</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