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m0kr9vnwovci" w:id="0"/>
      <w:bookmarkEnd w:id="0"/>
      <w:r w:rsidDel="00000000" w:rsidR="00000000" w:rsidRPr="00000000">
        <w:rPr>
          <w:rFonts w:ascii="Arial Unicode MS" w:cs="Arial Unicode MS" w:eastAsia="Arial Unicode MS" w:hAnsi="Arial Unicode MS"/>
          <w:b w:val="1"/>
          <w:bCs w:val="1"/>
          <w:sz w:val="46"/>
          <w:szCs w:val="46"/>
          <w:rtl w:val="0"/>
        </w:rPr>
        <w:t xml:space="preserve">03_対ターゲット別バリュープロポジション比較表</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dffbo2g6gx2u" w:id="1"/>
      <w:bookmarkEnd w:id="1"/>
      <w:r w:rsidDel="00000000" w:rsidR="00000000" w:rsidRPr="00000000">
        <w:rPr>
          <w:rFonts w:ascii="Arial Unicode MS" w:cs="Arial Unicode MS" w:eastAsia="Arial Unicode MS" w:hAnsi="Arial Unicode MS"/>
          <w:b w:val="1"/>
          <w:bCs w:val="1"/>
          <w:color w:val="000000"/>
          <w:sz w:val="26"/>
          <w:szCs w:val="26"/>
          <w:rtl w:val="0"/>
        </w:rPr>
        <w:t xml:space="preserve">■ 金融庁（FSA）</w:t>
      </w:r>
    </w:p>
    <w:p w:rsidR="00000000" w:rsidDel="00000000" w:rsidP="00000000" w:rsidRDefault="00000000" w:rsidRPr="00000000" w14:paraId="00000003">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特有の課題 / 経営課題</w:t>
      </w:r>
    </w:p>
    <w:p w:rsidR="00000000" w:rsidDel="00000000" w:rsidP="00000000" w:rsidRDefault="00000000" w:rsidRPr="00000000" w14:paraId="00000004">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高等学校における「金融経済教育」の義務化に伴い、教育現場における専門的な指導リソースやノウハウの不足が顕在化している。</w:t>
      </w:r>
    </w:p>
    <w:p w:rsidR="00000000" w:rsidDel="00000000" w:rsidP="00000000" w:rsidRDefault="00000000" w:rsidRPr="00000000" w14:paraId="00000005">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行政機関の性質上、特定の民間金融機関（ネット証券等）を優遇・プロモーションできないという中立性の制約条件が存在する。</w:t>
      </w:r>
    </w:p>
    <w:p w:rsidR="00000000" w:rsidDel="00000000" w:rsidP="00000000" w:rsidRDefault="00000000" w:rsidRPr="00000000" w14:paraId="00000006">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生前贈与における脱税・定期贈与認定リスク、未成年者の過度なリスク投資（こどもNISA制度の趣旨逸脱）、口座属性（特定・一般・NISA）ごとの複雑な課税関係、米国株取引等に伴うウォッシュセール規制（SEC/IRS）と国内税制のギャップ、および外貨建て資産運用等に伴う煩雑な為替差益管理・課税上のリスク。</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提供価値（バリュープロポジション） / 実装ロジック</w:t>
      </w:r>
    </w:p>
    <w:p w:rsidR="00000000" w:rsidDel="00000000" w:rsidP="00000000" w:rsidRDefault="00000000" w:rsidRPr="00000000" w14:paraId="00000008">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特定の金融機関への誘導を行わない公明正大なシミュレーション環境（サンドボックス）を提供する。</w:t>
      </w:r>
    </w:p>
    <w:p w:rsidR="00000000" w:rsidDel="00000000" w:rsidP="00000000" w:rsidRDefault="00000000" w:rsidRPr="00000000" w14:paraId="00000009">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Googleの中立的なテクノロジー基盤を活用することで、教育現場の負担を最小限に抑えつつ、行政が推進するNISA経済圏の健全な浸透と家庭内資産の次世代還流を実現する。</w:t>
      </w:r>
    </w:p>
    <w:p w:rsidR="00000000" w:rsidDel="00000000" w:rsidP="00000000" w:rsidRDefault="00000000" w:rsidRPr="00000000" w14:paraId="0000000A">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「こどもNISA・つみたて投資枠ハードロック」により成長投資枠（個別株等）を物理遮断し、健全な積立投資のみに限定する確実なガバナンスを担保。</w:t>
      </w:r>
    </w:p>
    <w:p w:rsidR="00000000" w:rsidDel="00000000" w:rsidP="00000000" w:rsidRDefault="00000000" w:rsidRPr="00000000" w14:paraId="0000000B">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最高裁判決等で示された為替差益課税の自動トラッキング・可視化、米国ウォッシュセール規制の日米税制ギャップ補正算定、および口座属性別の損益通算・ミニマムタックス（最低負担税率）強化に伴う将来税率（30%）シミュレーションをOSレベルでハードコードし、適正申告を促進するデジタル副読本として機能。</w:t>
      </w:r>
    </w:p>
    <w:p w:rsidR="00000000" w:rsidDel="00000000" w:rsidP="00000000" w:rsidRDefault="00000000" w:rsidRPr="00000000" w14:paraId="0000000C">
      <w:pPr>
        <w:numPr>
          <w:ilvl w:val="1"/>
          <w:numId w:val="1"/>
        </w:numPr>
        <w:spacing w:after="240" w:lineRule="auto"/>
        <w:ind w:left="1440" w:hanging="360"/>
      </w:pPr>
      <w:r w:rsidDel="00000000" w:rsidR="00000000" w:rsidRPr="00000000">
        <w:rPr>
          <w:rFonts w:ascii="Arial Unicode MS" w:cs="Arial Unicode MS" w:eastAsia="Arial Unicode MS" w:hAnsi="Arial Unicode MS"/>
          <w:rtl w:val="0"/>
        </w:rPr>
        <w:t xml:space="preserve">万が一特定の金融機関に行政指導（業務停止命令等）、経済制裁、最高裁判決等の重大な課税方針変更が生じた際にも、可変型リスク・ゲートウェイがその情報と連動し、セミオートで該当機関への動線を即座に制御・制限できるため、極めて堅牢な行政ガバナンスを担保できる。</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brr2svr0e498" w:id="2"/>
      <w:bookmarkEnd w:id="2"/>
      <w:r w:rsidDel="00000000" w:rsidR="00000000" w:rsidRPr="00000000">
        <w:rPr>
          <w:rFonts w:ascii="Arial Unicode MS" w:cs="Arial Unicode MS" w:eastAsia="Arial Unicode MS" w:hAnsi="Arial Unicode MS"/>
          <w:b w:val="1"/>
          <w:bCs w:val="1"/>
          <w:color w:val="000000"/>
          <w:sz w:val="26"/>
          <w:szCs w:val="26"/>
          <w:rtl w:val="0"/>
        </w:rPr>
        <w:t xml:space="preserve">■ 米国メガバンク / 新興デジタル証券（JPMorgan Chase, Bank of America, Robinhood等）</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特有の課題 / 経営課題</w:t>
      </w:r>
    </w:p>
    <w:p w:rsidR="00000000" w:rsidDel="00000000" w:rsidP="00000000" w:rsidRDefault="00000000" w:rsidRPr="00000000" w14:paraId="0000000F">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若年層の金融リテラシー不足による過度な債務（BNPL破綻等）や投機的アプリでの損失が社会問題化しており、保護者層からの信用低下リスクを抱える。</w:t>
      </w:r>
    </w:p>
    <w:p w:rsidR="00000000" w:rsidDel="00000000" w:rsidP="00000000" w:rsidRDefault="00000000" w:rsidRPr="00000000" w14:paraId="00000010">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米国税法上の「ウォッシュセール（Wash Sale）規制（30日以内の同一銘柄再購入による損金繰延）」に対する顧客の理解不足から生じる、意図しない確定申告不備や不満の発生。</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提供価値（バリュープロポジション） / 実装ロジック</w:t>
      </w:r>
    </w:p>
    <w:p w:rsidR="00000000" w:rsidDel="00000000" w:rsidP="00000000" w:rsidRDefault="00000000" w:rsidRPr="00000000" w14:paraId="00000012">
      <w:pPr>
        <w:numPr>
          <w:ilvl w:val="1"/>
          <w:numId w:val="2"/>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SEC/FINRA規制に完全準拠した健全な親子のクレジット・資産形成教育プラットフォームの提供。</w:t>
      </w:r>
    </w:p>
    <w:p w:rsidR="00000000" w:rsidDel="00000000" w:rsidP="00000000" w:rsidRDefault="00000000" w:rsidRPr="00000000" w14:paraId="00000013">
      <w:pPr>
        <w:numPr>
          <w:ilvl w:val="1"/>
          <w:numId w:val="2"/>
        </w:numPr>
        <w:spacing w:after="240" w:lineRule="auto"/>
        <w:ind w:left="1440" w:hanging="360"/>
      </w:pPr>
      <w:r w:rsidDel="00000000" w:rsidR="00000000" w:rsidRPr="00000000">
        <w:rPr>
          <w:rFonts w:ascii="Arial Unicode MS" w:cs="Arial Unicode MS" w:eastAsia="Arial Unicode MS" w:hAnsi="Arial Unicode MS"/>
          <w:rtl w:val="0"/>
        </w:rPr>
        <w:t xml:space="preserve">「米国ウォッシュセール自動制御エンジン」を標準搭載し、対象取引のリアルタイム検知、実質損金の取得原価加算処理、事前注意アラートを出力することで顧客の税務コンプライアンスを自動担保。</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upx4gnlu66si" w:id="3"/>
      <w:bookmarkEnd w:id="3"/>
      <w:r w:rsidDel="00000000" w:rsidR="00000000" w:rsidRPr="00000000">
        <w:rPr>
          <w:rFonts w:ascii="Arial Unicode MS" w:cs="Arial Unicode MS" w:eastAsia="Arial Unicode MS" w:hAnsi="Arial Unicode MS"/>
          <w:b w:val="1"/>
          <w:bCs w:val="1"/>
          <w:color w:val="000000"/>
          <w:sz w:val="26"/>
          <w:szCs w:val="26"/>
          <w:rtl w:val="0"/>
        </w:rPr>
        <w:t xml:space="preserve">■ 日本のネット証券（楽天・SBI等）</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特有の課題 / 経営課題</w:t>
      </w:r>
    </w:p>
    <w:p w:rsidR="00000000" w:rsidDel="00000000" w:rsidP="00000000" w:rsidRDefault="00000000" w:rsidRPr="00000000" w14:paraId="00000016">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日本の主要ネット証券における中長期的なリスクは、現在のメイン顧客層（40〜50代）から投資に関心の薄い次世代（子供世代）へ資産が承継された際、口座解約および他行普通預金等への還流による大規模な「資産流出（チャーン）」が発生することである。</w:t>
      </w:r>
    </w:p>
    <w:p w:rsidR="00000000" w:rsidDel="00000000" w:rsidP="00000000" w:rsidRDefault="00000000" w:rsidRPr="00000000" w14:paraId="00000017">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若年層顧客獲得に伴う口座開設コスト（CPA）の高騰、保護者からの贈与税トラブル（定期贈与認定等）、「NISAと特定・一般口座の併用」に伴う損益通算・確定申告の煩雑さ、および米国株・外貨建て商品の「ちょこちょこ買付」に伴う複雑な為替差益・雑所得計算やウォッシュセール調整への問い合わせ・サポート負担。</w:t>
      </w:r>
    </w:p>
    <w:p w:rsidR="00000000" w:rsidDel="00000000" w:rsidP="00000000" w:rsidRDefault="00000000" w:rsidRPr="00000000" w14:paraId="00000018">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提供価値（バリュープロポジション） / 実装ロジック</w:t>
      </w:r>
    </w:p>
    <w:p w:rsidR="00000000" w:rsidDel="00000000" w:rsidP="00000000" w:rsidRDefault="00000000" w:rsidRPr="00000000" w14:paraId="00000019">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新規の若年層を個別に獲得する高いマーケティングコストをかける必要がない。</w:t>
      </w:r>
    </w:p>
    <w:p w:rsidR="00000000" w:rsidDel="00000000" w:rsidP="00000000" w:rsidRDefault="00000000" w:rsidRPr="00000000" w14:paraId="0000001A">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現行の優良顧客の次世代（子供）に対し、シミュレーション（サンドボックス）環境を通じて、早期から自然な形で自社のUI/UXおよび経済圏へのエンゲージメントを高める。</w:t>
      </w:r>
    </w:p>
    <w:p w:rsidR="00000000" w:rsidDel="00000000" w:rsidP="00000000" w:rsidRDefault="00000000" w:rsidRPr="00000000" w14:paraId="0000001B">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「スマート電子都度贈与・定期贈与判定回避ワークフロー（電子契約・タイムスタンプ・ゆらぎ送金・目的別タグ）」をバックエンドで自動実行し、ユーザーの税務トラブルを未然に防止。</w:t>
      </w:r>
    </w:p>
    <w:p w:rsidR="00000000" w:rsidDel="00000000" w:rsidP="00000000" w:rsidRDefault="00000000" w:rsidRPr="00000000" w14:paraId="0000001C">
      <w:pPr>
        <w:numPr>
          <w:ilvl w:val="1"/>
          <w:numId w:val="3"/>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マルチ口座統合損益通算エンジン」、「米国ウォッシュセール補正エンジン」、および「為替差益自動計算エンジン（移動平均法・総平均法ミリ秒計算・確定申告データワンクリック出力）」を標準搭載し、特定/一般口座・米国株の税務管理に伴う心理的障壁とサポートコストを劇的に削減。</w:t>
      </w:r>
    </w:p>
    <w:p w:rsidR="00000000" w:rsidDel="00000000" w:rsidP="00000000" w:rsidRDefault="00000000" w:rsidRPr="00000000" w14:paraId="0000001D">
      <w:pPr>
        <w:numPr>
          <w:ilvl w:val="1"/>
          <w:numId w:val="3"/>
        </w:numPr>
        <w:spacing w:after="240" w:lineRule="auto"/>
        <w:ind w:left="1440" w:hanging="360"/>
      </w:pPr>
      <w:r w:rsidDel="00000000" w:rsidR="00000000" w:rsidRPr="00000000">
        <w:rPr>
          <w:rFonts w:ascii="Arial Unicode MS" w:cs="Arial Unicode MS" w:eastAsia="Arial Unicode MS" w:hAnsi="Arial Unicode MS"/>
          <w:rtl w:val="0"/>
        </w:rPr>
        <w:t xml:space="preserve">ミニマムタックス（最低負担税率）強化に伴う将来的な30%増税パラメータを見据えたポートフォリオ自動再構築提案により、資産流出を未然に防ぐ長期的な『リテンション・アーキテクチャ』として機能。</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ebskdual3txz" w:id="4"/>
      <w:bookmarkEnd w:id="4"/>
      <w:r w:rsidDel="00000000" w:rsidR="00000000" w:rsidRPr="00000000">
        <w:rPr>
          <w:rFonts w:ascii="Arial Unicode MS" w:cs="Arial Unicode MS" w:eastAsia="Arial Unicode MS" w:hAnsi="Arial Unicode MS"/>
          <w:b w:val="1"/>
          <w:bCs w:val="1"/>
          <w:color w:val="000000"/>
          <w:sz w:val="26"/>
          <w:szCs w:val="26"/>
          <w:rtl w:val="0"/>
        </w:rPr>
        <w:t xml:space="preserve">■ 日本のメガバンク（信託・リテール）</w:t>
      </w:r>
    </w:p>
    <w:p w:rsidR="00000000" w:rsidDel="00000000" w:rsidP="00000000" w:rsidRDefault="00000000" w:rsidRPr="00000000" w14:paraId="0000001F">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特有の課題 / 経営課題</w:t>
      </w:r>
    </w:p>
    <w:p w:rsidR="00000000" w:rsidDel="00000000" w:rsidP="00000000" w:rsidRDefault="00000000" w:rsidRPr="00000000" w14:paraId="00000020">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高齢者顧客（60〜80代）の逝去に伴う巨額の預金流出・口座解約リスク。</w:t>
      </w:r>
    </w:p>
    <w:p w:rsidR="00000000" w:rsidDel="00000000" w:rsidP="00000000" w:rsidRDefault="00000000" w:rsidRPr="00000000" w14:paraId="00000021">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顧客の次世代・孫世代との接点構築の難しさ、および生前贈与・資産承継・課税/非課税口座の併用運用に関する手厚いコンサルティング体制の維持コスト。</w:t>
      </w:r>
    </w:p>
    <w:p w:rsidR="00000000" w:rsidDel="00000000" w:rsidP="00000000" w:rsidRDefault="00000000" w:rsidRPr="00000000" w14:paraId="00000022">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提供価値（バリュープロポジション） / 実装ロジック</w:t>
      </w:r>
    </w:p>
    <w:p w:rsidR="00000000" w:rsidDel="00000000" w:rsidP="00000000" w:rsidRDefault="00000000" w:rsidRPr="00000000" w14:paraId="00000023">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「孫・子供世代へのお小遣い・生前贈与のスマートなデジタル動線」を構築し、相続発生時における他社NISA口座や決済アプリへの資産流出を防ぐ「防壁（リテンション・シールド）」として機能。</w:t>
      </w:r>
    </w:p>
    <w:p w:rsidR="00000000" w:rsidDel="00000000" w:rsidP="00000000" w:rsidRDefault="00000000" w:rsidRPr="00000000" w14:paraId="00000024">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積立NISA枠（60万円）、贈与枠（110万円）、特定/一般口座の通算損益、外貨建て運用の為替差益、および米国株ウォッシュセール適用状態をバックエンドでマルチ・トラッキング（自動判定・自動検知）。</w:t>
      </w:r>
    </w:p>
    <w:p w:rsidR="00000000" w:rsidDel="00000000" w:rsidP="00000000" w:rsidRDefault="00000000" w:rsidRPr="00000000" w14:paraId="00000025">
      <w:pPr>
        <w:numPr>
          <w:ilvl w:val="1"/>
          <w:numId w:val="4"/>
        </w:numPr>
        <w:spacing w:after="240" w:lineRule="auto"/>
        <w:ind w:left="1440" w:hanging="360"/>
      </w:pPr>
      <w:r w:rsidDel="00000000" w:rsidR="00000000" w:rsidRPr="00000000">
        <w:rPr>
          <w:rFonts w:ascii="Arial Unicode MS" w:cs="Arial Unicode MS" w:eastAsia="Arial Unicode MS" w:hAnsi="Arial Unicode MS"/>
          <w:rtl w:val="0"/>
        </w:rPr>
        <w:t xml:space="preserve">境界値接近や通算メリット発生時には事前アラートを出力し、過不足ないタイミングで金融機関の対面・ハイブリッド型税務コンサルティング動線へ最適ルーティングする。</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