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y97wxmxnw2gf" w:id="0"/>
      <w:bookmarkEnd w:id="0"/>
      <w:r w:rsidDel="00000000" w:rsidR="00000000" w:rsidRPr="00000000">
        <w:rPr>
          <w:rFonts w:ascii="Arial Unicode MS" w:cs="Arial Unicode MS" w:eastAsia="Arial Unicode MS" w:hAnsi="Arial Unicode MS"/>
          <w:b w:val="1"/>
          <w:bCs w:val="1"/>
          <w:sz w:val="46"/>
          <w:szCs w:val="46"/>
          <w:rtl w:val="0"/>
        </w:rPr>
        <w:t xml:space="preserve">04_システムアーキテクチャ＆データライフサイクル解説書</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praw27k50r6l"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子供の成長（ライフステージ）に連動してシステムの権限やUI/UXがどのように動的に遷移するか、また、金融機関の既存システムとどのようにミニマムかつセキュアに連携するかを視覚的トポロジーを踏まえて技術・運用の両面から解説する。</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nororngo2ey7"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「データ重力とインフラ統合」システムトポロジー（2面構成と力学動線）</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rtl w:val="0"/>
        </w:rPr>
        <w:t xml:space="preserve">システム構成は、金融機関側の既存環境への影響を最小限に抑えつつ、データ蓄積に伴う「データの重力（Data Gravity）」によって、将来的なGCPへの全面リプレースへと導く力学構造（トポロジー）を設計している。</w:t>
      </w:r>
    </w:p>
    <w:p w:rsidR="00000000" w:rsidDel="00000000" w:rsidP="00000000" w:rsidRDefault="00000000" w:rsidRPr="00000000" w14:paraId="00000006">
      <w:pPr>
        <w:pStyle w:val="Heading4"/>
        <w:keepNext w:val="0"/>
        <w:keepLines w:val="0"/>
        <w:spacing w:after="40" w:before="0" w:lineRule="auto"/>
        <w:rPr>
          <w:b w:val="1"/>
          <w:bCs w:val="1"/>
          <w:color w:val="000000"/>
          <w:sz w:val="22"/>
          <w:szCs w:val="22"/>
        </w:rPr>
      </w:pPr>
      <w:bookmarkStart w:colFirst="0" w:colLast="0" w:name="_g5gkgd6woame" w:id="3"/>
      <w:bookmarkEnd w:id="3"/>
      <w:r w:rsidDel="00000000" w:rsidR="00000000" w:rsidRPr="00000000">
        <w:rPr>
          <w:rFonts w:ascii="Arial Unicode MS" w:cs="Arial Unicode MS" w:eastAsia="Arial Unicode MS" w:hAnsi="Arial Unicode MS"/>
          <w:b w:val="1"/>
          <w:bCs w:val="1"/>
          <w:color w:val="000000"/>
          <w:sz w:val="22"/>
          <w:szCs w:val="22"/>
          <w:rtl w:val="0"/>
        </w:rPr>
        <w:t xml:space="preserve">【① ユーザー・フロント層（画面上部）】</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コンポーネント</w:t>
      </w:r>
      <w:r w:rsidDel="00000000" w:rsidR="00000000" w:rsidRPr="00000000">
        <w:rPr>
          <w:rFonts w:ascii="Arial Unicode MS" w:cs="Arial Unicode MS" w:eastAsia="Arial Unicode MS" w:hAnsi="Arial Unicode MS"/>
          <w:rtl w:val="0"/>
        </w:rPr>
        <w:t xml:space="preserve">: 「親のスマホ」と「子供の端末（お小遣いライフログ・外貨積立シミュレーション入力）」</w:t>
      </w:r>
    </w:p>
    <w:p w:rsidR="00000000" w:rsidDel="00000000" w:rsidP="00000000" w:rsidRDefault="00000000" w:rsidRPr="00000000" w14:paraId="00000008">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負荷分散</w:t>
      </w:r>
      <w:r w:rsidDel="00000000" w:rsidR="00000000" w:rsidRPr="00000000">
        <w:rPr>
          <w:rFonts w:ascii="Arial Unicode MS" w:cs="Arial Unicode MS" w:eastAsia="Arial Unicode MS" w:hAnsi="Arial Unicode MS"/>
          <w:rtl w:val="0"/>
        </w:rPr>
        <w:t xml:space="preserve">: イベント用フロントエンド（WebAssembly / Firebase Extensions）により、全国規模のイベントによる集中トラフィック（バースト）をエッジ処理で効率的に吸収。</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i12hb911uotk" w:id="4"/>
      <w:bookmarkEnd w:id="4"/>
      <w:r w:rsidDel="00000000" w:rsidR="00000000" w:rsidRPr="00000000">
        <w:rPr>
          <w:rFonts w:ascii="Arial Unicode MS" w:cs="Arial Unicode MS" w:eastAsia="Arial Unicode MS" w:hAnsi="Arial Unicode MS"/>
          <w:b w:val="1"/>
          <w:bCs w:val="1"/>
          <w:color w:val="000000"/>
          <w:sz w:val="22"/>
          <w:szCs w:val="22"/>
          <w:rtl w:val="0"/>
        </w:rPr>
        <w:t xml:space="preserve">【② 現在の金融機関インフラ領域（画面左側：他社クラウド環境等）】</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コンポーネント</w:t>
      </w:r>
      <w:r w:rsidDel="00000000" w:rsidR="00000000" w:rsidRPr="00000000">
        <w:rPr>
          <w:rFonts w:ascii="Arial Unicode MS" w:cs="Arial Unicode MS" w:eastAsia="Arial Unicode MS" w:hAnsi="Arial Unicode MS"/>
          <w:rtl w:val="0"/>
        </w:rPr>
        <w:t xml:space="preserve">: 「金融機関 既存基幹システム（預金・取引・口座属性マスターデータ：UID）」</w:t>
      </w:r>
    </w:p>
    <w:p w:rsidR="00000000" w:rsidDel="00000000" w:rsidP="00000000" w:rsidRDefault="00000000" w:rsidRPr="00000000" w14:paraId="0000000B">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データ連携</w:t>
      </w:r>
      <w:r w:rsidDel="00000000" w:rsidR="00000000" w:rsidRPr="00000000">
        <w:rPr>
          <w:rFonts w:ascii="Arial Unicode MS" w:cs="Arial Unicode MS" w:eastAsia="Arial Unicode MS" w:hAnsi="Arial Unicode MS"/>
          <w:rtl w:val="0"/>
        </w:rPr>
        <w:t xml:space="preserve">: 基幹システムから右側のGCP領域へは、APIまたはショートURL経由による顧客データの「ミニマム連携（点線の細い矢印）」のみを行う。これにより、金融機関側の既存基幹にリアルタイムの過負荷を一切かけないトポロジーを死守する。</w:t>
      </w:r>
    </w:p>
    <w:p w:rsidR="00000000" w:rsidDel="00000000" w:rsidP="00000000" w:rsidRDefault="00000000" w:rsidRPr="00000000" w14:paraId="0000000C">
      <w:pPr>
        <w:pStyle w:val="Heading4"/>
        <w:keepNext w:val="0"/>
        <w:keepLines w:val="0"/>
        <w:spacing w:after="40" w:before="0" w:lineRule="auto"/>
        <w:rPr>
          <w:b w:val="1"/>
          <w:bCs w:val="1"/>
          <w:color w:val="000000"/>
          <w:sz w:val="22"/>
          <w:szCs w:val="22"/>
        </w:rPr>
      </w:pPr>
      <w:bookmarkStart w:colFirst="0" w:colLast="0" w:name="_kd14m4up8ei6" w:id="5"/>
      <w:bookmarkEnd w:id="5"/>
      <w:r w:rsidDel="00000000" w:rsidR="00000000" w:rsidRPr="00000000">
        <w:rPr>
          <w:rFonts w:ascii="Arial Unicode MS" w:cs="Arial Unicode MS" w:eastAsia="Arial Unicode MS" w:hAnsi="Arial Unicode MS"/>
          <w:b w:val="1"/>
          <w:bCs w:val="1"/>
          <w:color w:val="000000"/>
          <w:sz w:val="22"/>
          <w:szCs w:val="22"/>
          <w:rtl w:val="0"/>
        </w:rPr>
        <w:t xml:space="preserve">【③ GWB駆動領域（画面右側：Google Cloud（GCP）環境）】</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コアコンポーネント</w:t>
      </w:r>
      <w:r w:rsidDel="00000000" w:rsidR="00000000" w:rsidRPr="00000000">
        <w:rPr>
          <w:rFonts w:ascii="Arial Unicode MS" w:cs="Arial Unicode MS" w:eastAsia="Arial Unicode MS" w:hAnsi="Arial Unicode MS"/>
          <w:rtl w:val="0"/>
        </w:rPr>
        <w:t xml:space="preserve">: 「Vertex AI」および「BigQuery」「Cloud Run」</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役割・視覚効果</w:t>
      </w:r>
      <w:r w:rsidDel="00000000" w:rsidR="00000000" w:rsidRPr="00000000">
        <w:rPr>
          <w:rFonts w:ascii="Arial Unicode MS" w:cs="Arial Unicode MS" w:eastAsia="Arial Unicode MS" w:hAnsi="Arial Unicode MS"/>
          <w:rtl w:val="0"/>
        </w:rPr>
        <w:t xml:space="preserve">: ミニマム連携されたUIDを起点に、日々の行動ログ・資産シミュレーションデータを暗号化のうえセキュアに蓄積。ただし、収集されるデータは事前に非識別化（アノニマイズ）処理層を通過させる。</w:t>
      </w:r>
    </w:p>
    <w:p w:rsidR="00000000" w:rsidDel="00000000" w:rsidP="00000000" w:rsidRDefault="00000000" w:rsidRPr="00000000" w14:paraId="0000000F">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ガードレール制御・レギュラトリー対応・税務ガバナンス</w:t>
      </w:r>
      <w:r w:rsidDel="00000000" w:rsidR="00000000" w:rsidRPr="00000000">
        <w:rPr>
          <w:rtl w:val="0"/>
        </w:rPr>
        <w:t xml:space="preserve">:</w:t>
      </w:r>
    </w:p>
    <w:p w:rsidR="00000000" w:rsidDel="00000000" w:rsidP="00000000" w:rsidRDefault="00000000" w:rsidRPr="00000000" w14:paraId="00000010">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出力検閲ロック</w:t>
      </w:r>
      <w:r w:rsidDel="00000000" w:rsidR="00000000" w:rsidRPr="00000000">
        <w:rPr>
          <w:rFonts w:ascii="Arial Unicode MS" w:cs="Arial Unicode MS" w:eastAsia="Arial Unicode MS" w:hAnsi="Arial Unicode MS"/>
          <w:rtl w:val="0"/>
        </w:rPr>
        <w:t xml:space="preserve">: AIのアウトプット層に「特定個別銘柄の推奨」や「断定的利益の約束」を絶対に吐き出させない「物理的なハード・ガードレール」を実装。</w:t>
      </w:r>
    </w:p>
    <w:p w:rsidR="00000000" w:rsidDel="00000000" w:rsidP="00000000" w:rsidRDefault="00000000" w:rsidRPr="00000000" w14:paraId="00000011">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NISAガバナンス</w:t>
      </w:r>
      <w:r w:rsidDel="00000000" w:rsidR="00000000" w:rsidRPr="00000000">
        <w:rPr>
          <w:rFonts w:ascii="Arial Unicode MS" w:cs="Arial Unicode MS" w:eastAsia="Arial Unicode MS" w:hAnsi="Arial Unicode MS"/>
          <w:rtl w:val="0"/>
        </w:rPr>
        <w:t xml:space="preserve">: こどもNISA制度下において、個別株やアクティブファンド等の「成長投資枠」への発注シグナルをハードコードで完全遮断し、積立投資対象（公募投資信託等）のみに物理限定。</w:t>
      </w:r>
    </w:p>
    <w:p w:rsidR="00000000" w:rsidDel="00000000" w:rsidP="00000000" w:rsidRDefault="00000000" w:rsidRPr="00000000" w14:paraId="00000012">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マルチ・バウンダリ物理ロック</w:t>
      </w:r>
      <w:r w:rsidDel="00000000" w:rsidR="00000000" w:rsidRPr="00000000">
        <w:rPr>
          <w:rFonts w:ascii="Arial Unicode MS" w:cs="Arial Unicode MS" w:eastAsia="Arial Unicode MS" w:hAnsi="Arial Unicode MS"/>
          <w:rtl w:val="0"/>
        </w:rPr>
        <w:t xml:space="preserve">: 「暦年贈与基礎控除額（年間110万円）」、「こどもNISA年間非課税枠（年間60万円）」、および「外貨運用に伴う雑所得非課税枠（年間20万円）」を絶対的バウンダリとして設定。境界値接近時の事前アラートおよび超過トランザクションの自動ホールドを制御。</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口座属性自動判定＆損益通算・ミニマムタックス強化（将来30%税率）シミュレータ</w:t>
      </w:r>
      <w:r w:rsidDel="00000000" w:rsidR="00000000" w:rsidRPr="00000000">
        <w:rPr>
          <w:rFonts w:ascii="Arial Unicode MS" w:cs="Arial Unicode MS" w:eastAsia="Arial Unicode MS" w:hAnsi="Arial Unicode MS"/>
          <w:rtl w:val="0"/>
        </w:rPr>
        <w:t xml:space="preserve">: NISA/特定/一般口座を自動識別し、複数口座間のリアルタイム損益通算・繰越控除額を可視化。またミニマムタックス強化議論を踏まえた将来的な税率引き上げ（30%増税等）を設定・検証できるストレステストエンジンを配備。</w:t>
      </w:r>
    </w:p>
    <w:p w:rsidR="00000000" w:rsidDel="00000000" w:rsidP="00000000" w:rsidRDefault="00000000" w:rsidRPr="00000000" w14:paraId="00000014">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米国ウォッシュセール（Wash Sale）自動制御処理パイプライン</w:t>
      </w:r>
      <w:r w:rsidDel="00000000" w:rsidR="00000000" w:rsidRPr="00000000">
        <w:rPr>
          <w:rFonts w:ascii="Arial Unicode MS" w:cs="Arial Unicode MS" w:eastAsia="Arial Unicode MS" w:hAnsi="Arial Unicode MS"/>
          <w:rtl w:val="0"/>
        </w:rPr>
        <w:t xml:space="preserve">: 損失が出ている米国株・米国ETF売却後の61日間ルール（前後30日）での買い戻し行為を追跡し、売却損失の取得原価加算および日本国内の損益通算・申告時補正データを自動生成。</w:t>
      </w:r>
    </w:p>
    <w:p w:rsidR="00000000" w:rsidDel="00000000" w:rsidP="00000000" w:rsidRDefault="00000000" w:rsidRPr="00000000" w14:paraId="00000015">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為替差益自動計算エンジン</w:t>
      </w:r>
      <w:r w:rsidDel="00000000" w:rsidR="00000000" w:rsidRPr="00000000">
        <w:rPr>
          <w:rFonts w:ascii="Arial Unicode MS" w:cs="Arial Unicode MS" w:eastAsia="Arial Unicode MS" w:hAnsi="Arial Unicode MS"/>
          <w:rtl w:val="0"/>
        </w:rPr>
        <w:t xml:space="preserve">: 移動平均法・総平均法に対応したミリ秒単位の評価損益計算エンジンをBigQuery/Cloud Run連携レイヤーに配置。小額・高頻度の外貨建て資産運用時の雑所得計算をリアルタイムで非同期処理。</w:t>
      </w:r>
    </w:p>
    <w:p w:rsidR="00000000" w:rsidDel="00000000" w:rsidP="00000000" w:rsidRDefault="00000000" w:rsidRPr="00000000" w14:paraId="00000016">
      <w:pPr>
        <w:numPr>
          <w:ilvl w:val="1"/>
          <w:numId w:val="4"/>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最高裁判決対応・電子署名ワークフロー</w:t>
      </w:r>
      <w:r w:rsidDel="00000000" w:rsidR="00000000" w:rsidRPr="00000000">
        <w:rPr>
          <w:rFonts w:ascii="Arial Unicode MS" w:cs="Arial Unicode MS" w:eastAsia="Arial Unicode MS" w:hAnsi="Arial Unicode MS"/>
          <w:rtl w:val="0"/>
        </w:rPr>
        <w:t xml:space="preserve">: 最高裁判決等の課税方針変更に完全準拠した「暗号化電子署名・タイムスタンプ付き都度合意書」の自動生成、学習ログ連動の「贈与実行パルス（ゆらぎ制御）」、AIによる「目的別マルチカテゴリタグ付け」、および「確定申告サポートデータ（CSV/PDF/XML）のワンクリック出力機能」をバックエンドで自動実行。</w:t>
      </w:r>
    </w:p>
    <w:p w:rsidR="00000000" w:rsidDel="00000000" w:rsidP="00000000" w:rsidRDefault="00000000" w:rsidRPr="00000000" w14:paraId="00000017">
      <w:pPr>
        <w:numPr>
          <w:ilvl w:val="1"/>
          <w:numId w:val="4"/>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セミオート・リスクゲートウェイ</w:t>
      </w:r>
      <w:r w:rsidDel="00000000" w:rsidR="00000000" w:rsidRPr="00000000">
        <w:rPr>
          <w:rFonts w:ascii="Arial Unicode MS" w:cs="Arial Unicode MS" w:eastAsia="Arial Unicode MS" w:hAnsi="Arial Unicode MS"/>
          <w:rtl w:val="0"/>
        </w:rPr>
        <w:t xml:space="preserve">: 「経済制裁」「業務停止命令」「上場廃止」「税制・ミニマムタックス強化・将来税率パラメータ変更」等の重大リスクや課税方針変更に対し、AIが検知したリスクシグナルをステージング（捕獲）し、金融機関側の人間によるチェックを挟むセミオート動線を配備。</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9u6cxx3b1jkc" w:id="6"/>
      <w:bookmarkEnd w:id="6"/>
      <w:r w:rsidDel="00000000" w:rsidR="00000000" w:rsidRPr="00000000">
        <w:rPr>
          <w:rFonts w:ascii="Arial Unicode MS" w:cs="Arial Unicode MS" w:eastAsia="Arial Unicode MS" w:hAnsi="Arial Unicode MS"/>
          <w:b w:val="1"/>
          <w:bCs w:val="1"/>
          <w:color w:val="000000"/>
          <w:sz w:val="26"/>
          <w:szCs w:val="26"/>
          <w:rtl w:val="0"/>
        </w:rPr>
        <w:t xml:space="preserve">3. データライフサイクルと権限昇格（パーミッション・ライフサイクル）</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サンドボックス期（未成年期）</w:t>
      </w:r>
      <w:r w:rsidDel="00000000" w:rsidR="00000000" w:rsidRPr="00000000">
        <w:rPr>
          <w:rFonts w:ascii="Arial Unicode MS" w:cs="Arial Unicode MS" w:eastAsia="Arial Unicode MS" w:hAnsi="Arial Unicode MS"/>
          <w:rtl w:val="0"/>
        </w:rPr>
        <w:t xml:space="preserve">: 子供のライフログ・仮想シミュレーションデータはGCP上の隔離環境（サンドボックス）で安全に保持され、親の承認がない限り実口座への注文発行・資金移動は物理的に遮断される。</w:t>
      </w:r>
    </w:p>
    <w:p w:rsidR="00000000" w:rsidDel="00000000" w:rsidP="00000000" w:rsidRDefault="00000000" w:rsidRPr="00000000" w14:paraId="0000001A">
      <w:pPr>
        <w:numPr>
          <w:ilvl w:val="0"/>
          <w:numId w:val="1"/>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成人・実口座昇格期</w:t>
      </w:r>
      <w:r w:rsidDel="00000000" w:rsidR="00000000" w:rsidRPr="00000000">
        <w:rPr>
          <w:rFonts w:ascii="Arial Unicode MS" w:cs="Arial Unicode MS" w:eastAsia="Arial Unicode MS" w:hAnsi="Arial Unicode MS"/>
          <w:rtl w:val="0"/>
        </w:rPr>
        <w:t xml:space="preserve">: ユーザーが成人した際、蓄積されたライフログおよびシミュレーション履歴の所有権が動的に子供本人へ移転・昇格。データは非識別化状態から実用口座のマスターUIDと結合され、NISA口座・特定/一般口座・外貨口座等での本格的な運用・資産継承へシームレスに移行する。このデータ移行プロセスがGCP内で完結するため、他社クラウドへのデータ移行コスト（Egress料金）を発生させず、GCP一元管理の動機付けを決定的なものとする。</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