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tksp3b1j7zag" w:id="0"/>
      <w:bookmarkEnd w:id="0"/>
      <w:r w:rsidDel="00000000" w:rsidR="00000000" w:rsidRPr="00000000">
        <w:rPr>
          <w:rFonts w:ascii="Arial Unicode MS" w:cs="Arial Unicode MS" w:eastAsia="Arial Unicode MS" w:hAnsi="Arial Unicode MS"/>
          <w:b w:val="1"/>
          <w:bCs w:val="1"/>
          <w:sz w:val="46"/>
          <w:szCs w:val="46"/>
          <w:rtl w:val="0"/>
        </w:rPr>
        <w:t xml:space="preserve">06_イベント用フロントエンド・モジュール（SECTION 2）バースト対策仕様書</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zc9b30e1lqu"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本資料は、金融庁主導のイベントや提携金融機関が実施する大規模な「金融教育キャンペーン（イベント）」の開催時、数万人規模のユーザー（親子）が同時にシステム（SECTION 2：フロントエンド・モジュール）へアクセスした際、インフラコストを高騰させず、かつ金融機関の既存基幹システムへ負荷を連動させないためのGCPサーバーレス・エッジトポロジーを定義する。</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dj1fczs7yt60"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想定されるバーストシナリオとリスク</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シナリオ</w:t>
      </w:r>
      <w:r w:rsidDel="00000000" w:rsidR="00000000" w:rsidRPr="00000000">
        <w:rPr>
          <w:rFonts w:ascii="Arial Unicode MS" w:cs="Arial Unicode MS" w:eastAsia="Arial Unicode MS" w:hAnsi="Arial Unicode MS"/>
          <w:rtl w:val="0"/>
        </w:rPr>
        <w:t xml:space="preserve">: 全国的な教育キャンペーンやオンライン／リアルイベントにおいて、特定時間帯に一斉に「サンドボックス環境」へのログインおよび「お小遣いタイムトラベル・シミュレータ」等のライフログシミュレーションが集中実行される。</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リスク</w:t>
      </w:r>
      <w:r w:rsidDel="00000000" w:rsidR="00000000" w:rsidRPr="00000000">
        <w:rPr>
          <w:rFonts w:ascii="Arial Unicode MS" w:cs="Arial Unicode MS" w:eastAsia="Arial Unicode MS" w:hAnsi="Arial Unicode MS"/>
          <w:rtl w:val="0"/>
        </w:rPr>
        <w:t xml:space="preserve">: リクエスト急増によるインフラ運用の爆発的コスト高騰、およびトランザクション集中による金融機関側基幹API・データベースの過負荷・停止。</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jzx8opw6ilpg"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エッジ処理を徹底したGCPインフラトポロジー（バースト対策）</w:t>
      </w:r>
    </w:p>
    <w:p w:rsidR="00000000" w:rsidDel="00000000" w:rsidP="00000000" w:rsidRDefault="00000000" w:rsidRPr="00000000" w14:paraId="00000008">
      <w:pPr>
        <w:pStyle w:val="Heading4"/>
        <w:keepNext w:val="0"/>
        <w:keepLines w:val="0"/>
        <w:spacing w:after="40" w:before="0" w:lineRule="auto"/>
        <w:rPr>
          <w:b w:val="1"/>
          <w:bCs w:val="1"/>
          <w:color w:val="000000"/>
          <w:sz w:val="22"/>
          <w:szCs w:val="22"/>
        </w:rPr>
      </w:pPr>
      <w:bookmarkStart w:colFirst="0" w:colLast="0" w:name="_tojfdz3upl6a" w:id="4"/>
      <w:bookmarkEnd w:id="4"/>
      <w:r w:rsidDel="00000000" w:rsidR="00000000" w:rsidRPr="00000000">
        <w:rPr>
          <w:rFonts w:ascii="Arial Unicode MS" w:cs="Arial Unicode MS" w:eastAsia="Arial Unicode MS" w:hAnsi="Arial Unicode MS"/>
          <w:b w:val="1"/>
          <w:bCs w:val="1"/>
          <w:color w:val="000000"/>
          <w:sz w:val="22"/>
          <w:szCs w:val="22"/>
          <w:rtl w:val="0"/>
        </w:rPr>
        <w:t xml:space="preserve">① WebAssembly（Wasm）× Cloud Storage / Cloud CDN による完全エッジ処理</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対策内容</w:t>
      </w:r>
      <w:r w:rsidDel="00000000" w:rsidR="00000000" w:rsidRPr="00000000">
        <w:rPr>
          <w:rFonts w:ascii="Arial Unicode MS" w:cs="Arial Unicode MS" w:eastAsia="Arial Unicode MS" w:hAnsi="Arial Unicode MS"/>
          <w:rtl w:val="0"/>
        </w:rPr>
        <w:t xml:space="preserve">: SECTION 2のフロントエンドおよびシミュレーションロジック（お小遣いタイムトラベル・シミュレータ）を「WebAssembly（Wasm）」化し、ユーザーのブラウザ・端末側（エッジ）へ完全配布する。初期のフィルタリングや定性解析、口座属性の初期バリデーションを端末側で即時完了させる。静的アセットの配信には Cloud Storage と Cloud CDN を組み合わせ、数百万スパイクアクセスに耐え得る可用性を確保する。</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効果</w:t>
      </w:r>
      <w:r w:rsidDel="00000000" w:rsidR="00000000" w:rsidRPr="00000000">
        <w:rPr>
          <w:rFonts w:ascii="Arial Unicode MS" w:cs="Arial Unicode MS" w:eastAsia="Arial Unicode MS" w:hAnsi="Arial Unicode MS"/>
          <w:rtl w:val="0"/>
        </w:rPr>
        <w:t xml:space="preserve">: AIシミュレーションや定性解析の9割以上をユーザー端末のCPUリソースで完結させるため、中央サーバーの計算負荷を「ゼロ」に抑え、トラフィック高騰によるサーバーコストの爆発を物理的に回避する。</w:t>
      </w:r>
    </w:p>
    <w:p w:rsidR="00000000" w:rsidDel="00000000" w:rsidP="00000000" w:rsidRDefault="00000000" w:rsidRPr="00000000" w14:paraId="0000000B">
      <w:pPr>
        <w:pStyle w:val="Heading4"/>
        <w:keepNext w:val="0"/>
        <w:keepLines w:val="0"/>
        <w:spacing w:after="40" w:before="0" w:lineRule="auto"/>
        <w:rPr>
          <w:b w:val="1"/>
          <w:bCs w:val="1"/>
          <w:color w:val="000000"/>
          <w:sz w:val="22"/>
          <w:szCs w:val="22"/>
        </w:rPr>
      </w:pPr>
      <w:bookmarkStart w:colFirst="0" w:colLast="0" w:name="_sn51phj2itvd" w:id="5"/>
      <w:bookmarkEnd w:id="5"/>
      <w:r w:rsidDel="00000000" w:rsidR="00000000" w:rsidRPr="00000000">
        <w:rPr>
          <w:rFonts w:ascii="Arial Unicode MS" w:cs="Arial Unicode MS" w:eastAsia="Arial Unicode MS" w:hAnsi="Arial Unicode MS"/>
          <w:b w:val="1"/>
          <w:bCs w:val="1"/>
          <w:color w:val="000000"/>
          <w:sz w:val="22"/>
          <w:szCs w:val="22"/>
          <w:rtl w:val="0"/>
        </w:rPr>
        <w:t xml:space="preserve">② Firebase / Identity Platform による認証・状態管理の最適化</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対策内容</w:t>
      </w:r>
      <w:r w:rsidDel="00000000" w:rsidR="00000000" w:rsidRPr="00000000">
        <w:rPr>
          <w:rFonts w:ascii="Arial Unicode MS" w:cs="Arial Unicode MS" w:eastAsia="Arial Unicode MS" w:hAnsi="Arial Unicode MS"/>
          <w:rtl w:val="0"/>
        </w:rPr>
        <w:t xml:space="preserve">: イベント時のユーザーログインおよびセッション管理には Firebase Authentication（Identity Platform）を採用。オートスケール構成（Cloud Run / API Gateway / Cloud Functions）を組み合わせることで、秒間数万リクエストの認証・ステート管理をミリ秒単位でミリ秒応答する。</w:t>
      </w:r>
    </w:p>
    <w:p w:rsidR="00000000" w:rsidDel="00000000" w:rsidP="00000000" w:rsidRDefault="00000000" w:rsidRPr="00000000" w14:paraId="0000000D">
      <w:pPr>
        <w:pStyle w:val="Heading4"/>
        <w:keepNext w:val="0"/>
        <w:keepLines w:val="0"/>
        <w:spacing w:after="40" w:before="0" w:lineRule="auto"/>
        <w:rPr>
          <w:b w:val="1"/>
          <w:bCs w:val="1"/>
          <w:color w:val="000000"/>
          <w:sz w:val="22"/>
          <w:szCs w:val="22"/>
        </w:rPr>
      </w:pPr>
      <w:bookmarkStart w:colFirst="0" w:colLast="0" w:name="_1r2gn9syk4tr" w:id="6"/>
      <w:bookmarkEnd w:id="6"/>
      <w:r w:rsidDel="00000000" w:rsidR="00000000" w:rsidRPr="00000000">
        <w:rPr>
          <w:rFonts w:ascii="Arial Unicode MS" w:cs="Arial Unicode MS" w:eastAsia="Arial Unicode MS" w:hAnsi="Arial Unicode MS"/>
          <w:b w:val="1"/>
          <w:bCs w:val="1"/>
          <w:color w:val="000000"/>
          <w:sz w:val="22"/>
          <w:szCs w:val="22"/>
          <w:rtl w:val="0"/>
        </w:rPr>
        <w:t xml:space="preserve">③ 非同期リレーパイプラインによる BigQuery / Vertex AI へのデータ集約（基幹負荷ゼロ）</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対策内容</w:t>
      </w:r>
      <w:r w:rsidDel="00000000" w:rsidR="00000000" w:rsidRPr="00000000">
        <w:rPr>
          <w:rFonts w:ascii="Arial Unicode MS" w:cs="Arial Unicode MS" w:eastAsia="Arial Unicode MS" w:hAnsi="Arial Unicode MS"/>
          <w:rtl w:val="0"/>
        </w:rPr>
        <w:t xml:space="preserve">: エッジ処理でフィルタリングされた確度の高いログのみを、Pub/Sub および Cloud Dataflow を経由して BigQuery / Vertex AI へストリーミングインジェスト（非同期リレー）する。</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効果</w:t>
      </w:r>
      <w:r w:rsidDel="00000000" w:rsidR="00000000" w:rsidRPr="00000000">
        <w:rPr>
          <w:rFonts w:ascii="Arial Unicode MS" w:cs="Arial Unicode MS" w:eastAsia="Arial Unicode MS" w:hAnsi="Arial Unicode MS"/>
          <w:rtl w:val="0"/>
        </w:rPr>
        <w:t xml:space="preserve">: 金融機関の基幹システムへリアルタイム負荷を一切与えずにログ蓄積を実行。イベント終了時には「専用ショートURL付き即時口座バリデーション」を発行し、獲得した子供の診断ログ、各種設定（NISA/特定［源泉あり・なし］/一般口座区分、110万円/60万円非課税枠、為替差益自動管理、米国ウォッシュセール自動検知の初期パラメータ）を維持したまま、新規口座開設フォームへ安全にリダイレクトさせる。</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