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b5mdle8rtxj" w:id="0"/>
      <w:bookmarkEnd w:id="0"/>
      <w:r w:rsidDel="00000000" w:rsidR="00000000" w:rsidRPr="00000000">
        <w:rPr>
          <w:rFonts w:ascii="Arial Unicode MS" w:cs="Arial Unicode MS" w:eastAsia="Arial Unicode MS" w:hAnsi="Arial Unicode MS"/>
          <w:b w:val="1"/>
          <w:bCs w:val="1"/>
          <w:sz w:val="46"/>
          <w:szCs w:val="46"/>
          <w:rtl w:val="0"/>
        </w:rPr>
        <w:t xml:space="preserve">07_基幹組込みシステム・モジュール（SECTION 3）本命インフラ仕様書</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i5x5ft567cq6"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イベント（SECTION 2）で獲得した診断ログや、金融機関が保有する既存顧客データ（UID）をセキュアに引き継ぎ、GCP基盤上で長期的な顧客リテンションと高度な税務・法務ガバナンスを実現する基幹インフラ（SECTION 3）の仕様を定義する。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l8s0vps4tbmd"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コールドスタート &amp; 段階的UI/UXチューニング（Cloud Run / Firestore）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初期フェーズ (Day 1)</w:t>
      </w:r>
      <w:r w:rsidDel="00000000" w:rsidR="00000000" w:rsidRPr="00000000">
        <w:rPr>
          <w:rFonts w:ascii="Arial Unicode MS" w:cs="Arial Unicode MS" w:eastAsia="Arial Unicode MS" w:hAnsi="Arial Unicode MS"/>
          <w:rtl w:val="0"/>
        </w:rPr>
        <w:t xml:space="preserve">: 顧客の既存属性データとテンプレートに基づき、Firestore上に初期UI/UXパラメータを仮設定しスモールスタート。</w:t>
      </w:r>
    </w:p>
    <w:p w:rsidR="00000000" w:rsidDel="00000000" w:rsidP="00000000" w:rsidRDefault="00000000" w:rsidRPr="00000000" w14:paraId="00000006">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調整フェーズ</w:t>
      </w:r>
      <w:r w:rsidDel="00000000" w:rsidR="00000000" w:rsidRPr="00000000">
        <w:rPr>
          <w:rFonts w:ascii="Arial Unicode MS" w:cs="Arial Unicode MS" w:eastAsia="Arial Unicode MS" w:hAnsi="Arial Unicode MS"/>
          <w:rtl w:val="0"/>
        </w:rPr>
        <w:t xml:space="preserve">: 日々のアクセスログや利用頻度を BigQuery で分析し、Vertex AI が顧客の反応に応じてUI/UXを動的に最適化。</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tnk35vg3p5rs"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パーミッション・ライフサイクル（子供向け権限移行プロトコル）</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ステップ1（サンドボックス環境）</w:t>
      </w:r>
      <w:r w:rsidDel="00000000" w:rsidR="00000000" w:rsidRPr="00000000">
        <w:rPr>
          <w:rFonts w:ascii="Arial Unicode MS" w:cs="Arial Unicode MS" w:eastAsia="Arial Unicode MS" w:hAnsi="Arial Unicode MS"/>
          <w:rtl w:val="0"/>
        </w:rPr>
        <w:t xml:space="preserve">: 法的リスクを物理遮断した仮想環境。成長投資枠は選べず、つみたて投資のみを体験（親は閲覧のみ）。</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ステップ2（保護者承認＆電子贈与ゲート）</w:t>
      </w:r>
      <w:r w:rsidDel="00000000" w:rsidR="00000000" w:rsidRPr="00000000">
        <w:rPr>
          <w:rFonts w:ascii="Arial Unicode MS" w:cs="Arial Unicode MS" w:eastAsia="Arial Unicode MS" w:hAnsi="Arial Unicode MS"/>
          <w:rtl w:val="0"/>
        </w:rPr>
        <w:t xml:space="preserve">: 子供の積立申請に対し、親コンソールへ「承認＆スマート電子贈与リクエスト」を送信。親のワンタップ承認・暗号化電子署名により、都度贈与と実際の積立トランザクションを同時成立させる。</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ステップ3（権限完全移行と実口座昇格）</w:t>
      </w:r>
      <w:r w:rsidDel="00000000" w:rsidR="00000000" w:rsidRPr="00000000">
        <w:rPr>
          <w:rFonts w:ascii="Arial Unicode MS" w:cs="Arial Unicode MS" w:eastAsia="Arial Unicode MS" w:hAnsi="Arial Unicode MS"/>
          <w:rtl w:val="0"/>
        </w:rPr>
        <w:t xml:space="preserve">: 成人・習熟度到達時に、管理権限を子供へ完全移行。UI/UXを「パートナー型UI」へ自動遷移させ、サンドボックスのデータを実口座のリーガルデータへ安全に昇格（プロモート）する。</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l8wpzxdabu2a"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高度税務・ガバナンス計算エンジン（Cloud Run / BigQuery）</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外貨積立・マルチ為替差益＆ウォッシュセール計算エンジン</w:t>
      </w:r>
      <w:r w:rsidDel="00000000" w:rsidR="00000000" w:rsidRPr="00000000">
        <w:rPr>
          <w:rtl w:val="0"/>
        </w:rPr>
        <w:t xml:space="preserve">:</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ドル等の外貨建て資産の小額・高頻度取引に対し、TTMレートと取得額を全自動ログ化。移動平均法・総平均法による平均取得単価をミリ秒単位で算出。</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外貨決済や銘柄乗り換え（スワップ）時の為替差益（雑所得・総合課税対象）を自動補正・算定し、20万円の確定申告ライン接近時に事前アラートを出力。</w:t>
      </w:r>
    </w:p>
    <w:p w:rsidR="00000000" w:rsidDel="00000000" w:rsidP="00000000" w:rsidRDefault="00000000" w:rsidRPr="00000000" w14:paraId="0000000F">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米国ウォッシュセール（Wash Sale）自動制御</w:t>
      </w:r>
      <w:r w:rsidDel="00000000" w:rsidR="00000000" w:rsidRPr="00000000">
        <w:rPr>
          <w:rFonts w:ascii="Arial Unicode MS" w:cs="Arial Unicode MS" w:eastAsia="Arial Unicode MS" w:hAnsi="Arial Unicode MS"/>
          <w:rtl w:val="0"/>
        </w:rPr>
        <w:t xml:space="preserve">: 損失確定売却の前後の30日間（計61日間）における同一・実質同一銘柄の買い戻しをリアルタイム検知。確定損失の即時計上を禁止し、取得原価への損失加算および日本国内の損益通算・確定申告ルールとのギャップ補正算定を全自動で行う。</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全口座属性統合損益・通算＆ミニマムタックス対応エンジン</w:t>
      </w:r>
      <w:r w:rsidDel="00000000" w:rsidR="00000000" w:rsidRPr="00000000">
        <w:rPr>
          <w:rtl w:val="0"/>
        </w:rPr>
        <w:t xml:space="preserve">:</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全口座区分（NISA／特定口座［源泉あり・なし］／一般口座）を動的識別。課税口座間における譲渡損益・配当金のリアルタイム損益通算および繰越控除（最長3年）をトラッキング。</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ミニマムタックス（最低負担税率）30%ストレステスト</w:t>
      </w:r>
      <w:r w:rsidDel="00000000" w:rsidR="00000000" w:rsidRPr="00000000">
        <w:rPr>
          <w:rFonts w:ascii="Arial Unicode MS" w:cs="Arial Unicode MS" w:eastAsia="Arial Unicode MS" w:hAnsi="Arial Unicode MS"/>
          <w:rtl w:val="0"/>
        </w:rPr>
        <w:t xml:space="preserve">: 将来的に課税口座の税率が現行20.315%から30%へ引き上げられた場合を想定し、ポートフォリオ全体の税後実質利回りや手元残高への影響を動的シミュレーション。</w:t>
      </w:r>
    </w:p>
    <w:p w:rsidR="00000000" w:rsidDel="00000000" w:rsidP="00000000" w:rsidRDefault="00000000" w:rsidRPr="00000000" w14:paraId="00000013">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確定申告用サポートデータ（年間雑所得試算表、ウォッシュセール調整明細等）のワンクリックCSV/PDF出力機能を標準提供。</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