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rPr>
          <w:b w:val="1"/>
          <w:bCs w:val="1"/>
          <w:sz w:val="46"/>
          <w:szCs w:val="46"/>
        </w:rPr>
      </w:pPr>
      <w:bookmarkStart w:colFirst="0" w:colLast="0" w:name="_5b5kejmdpud" w:id="0"/>
      <w:bookmarkEnd w:id="0"/>
      <w:r w:rsidDel="00000000" w:rsidR="00000000" w:rsidRPr="00000000">
        <w:rPr>
          <w:rFonts w:ascii="Arial Unicode MS" w:cs="Arial Unicode MS" w:eastAsia="Arial Unicode MS" w:hAnsi="Arial Unicode MS"/>
          <w:b w:val="1"/>
          <w:bCs w:val="1"/>
          <w:sz w:val="46"/>
          <w:szCs w:val="46"/>
          <w:rtl w:val="0"/>
        </w:rPr>
        <w:t xml:space="preserve">08_経営幹部向けプレゼンテーション構成案（GCPインフラ包括契約クロージング仕様）</w:t>
      </w:r>
    </w:p>
    <w:p w:rsidR="00000000" w:rsidDel="00000000" w:rsidP="00000000" w:rsidRDefault="00000000" w:rsidRPr="00000000" w14:paraId="00000002">
      <w:pPr>
        <w:pStyle w:val="Heading3"/>
        <w:keepNext w:val="0"/>
        <w:keepLines w:val="0"/>
        <w:spacing w:before="0" w:lineRule="auto"/>
        <w:rPr>
          <w:b w:val="1"/>
          <w:bCs w:val="1"/>
          <w:color w:val="000000"/>
          <w:sz w:val="26"/>
          <w:szCs w:val="26"/>
        </w:rPr>
      </w:pPr>
      <w:bookmarkStart w:colFirst="0" w:colLast="0" w:name="_607btq4srqgi" w:id="1"/>
      <w:bookmarkEnd w:id="1"/>
      <w:r w:rsidDel="00000000" w:rsidR="00000000" w:rsidRPr="00000000">
        <w:rPr>
          <w:rFonts w:ascii="Arial Unicode MS" w:cs="Arial Unicode MS" w:eastAsia="Arial Unicode MS" w:hAnsi="Arial Unicode MS"/>
          <w:b w:val="1"/>
          <w:bCs w:val="1"/>
          <w:color w:val="000000"/>
          <w:sz w:val="26"/>
          <w:szCs w:val="26"/>
          <w:rtl w:val="0"/>
        </w:rPr>
        <w:t xml:space="preserve">1. 本資料の目的</w:t>
      </w:r>
    </w:p>
    <w:p w:rsidR="00000000" w:rsidDel="00000000" w:rsidP="00000000" w:rsidRDefault="00000000" w:rsidRPr="00000000" w14:paraId="00000003">
      <w:pPr>
        <w:spacing w:after="240" w:lineRule="auto"/>
        <w:rPr/>
      </w:pPr>
      <w:r w:rsidDel="00000000" w:rsidR="00000000" w:rsidRPr="00000000">
        <w:rPr>
          <w:rFonts w:ascii="Arial Unicode MS" w:cs="Arial Unicode MS" w:eastAsia="Arial Unicode MS" w:hAnsi="Arial Unicode MS"/>
          <w:rtl w:val="0"/>
        </w:rPr>
        <w:t xml:space="preserve">対象金融機関の経営幹部（CIO/CTO/事業責任者）から、最短で投資承認および「GCPコアインフラ包括リプレース」の合意を獲得するためのプレゼンテーション構成案。</w:t>
      </w:r>
    </w:p>
    <w:p w:rsidR="00000000" w:rsidDel="00000000" w:rsidP="00000000" w:rsidRDefault="00000000" w:rsidRPr="00000000" w14:paraId="00000004">
      <w:pPr>
        <w:pStyle w:val="Heading3"/>
        <w:keepNext w:val="0"/>
        <w:keepLines w:val="0"/>
        <w:spacing w:before="0" w:lineRule="auto"/>
        <w:rPr>
          <w:b w:val="1"/>
          <w:bCs w:val="1"/>
          <w:color w:val="000000"/>
          <w:sz w:val="26"/>
          <w:szCs w:val="26"/>
        </w:rPr>
      </w:pPr>
      <w:bookmarkStart w:colFirst="0" w:colLast="0" w:name="_c5r2i5bv3m3u" w:id="2"/>
      <w:bookmarkEnd w:id="2"/>
      <w:r w:rsidDel="00000000" w:rsidR="00000000" w:rsidRPr="00000000">
        <w:rPr>
          <w:rFonts w:ascii="Arial Unicode MS" w:cs="Arial Unicode MS" w:eastAsia="Arial Unicode MS" w:hAnsi="Arial Unicode MS"/>
          <w:b w:val="1"/>
          <w:bCs w:val="1"/>
          <w:color w:val="000000"/>
          <w:sz w:val="26"/>
          <w:szCs w:val="26"/>
          <w:rtl w:val="0"/>
        </w:rPr>
        <w:t xml:space="preserve">2. スライド構成案とトーカーズノート骨子</w:t>
      </w:r>
    </w:p>
    <w:p w:rsidR="00000000" w:rsidDel="00000000" w:rsidP="00000000" w:rsidRDefault="00000000" w:rsidRPr="00000000" w14:paraId="00000005">
      <w:pPr>
        <w:pStyle w:val="Heading4"/>
        <w:keepNext w:val="0"/>
        <w:keepLines w:val="0"/>
        <w:spacing w:after="40" w:before="0" w:lineRule="auto"/>
        <w:rPr>
          <w:b w:val="1"/>
          <w:bCs w:val="1"/>
          <w:color w:val="000000"/>
          <w:sz w:val="22"/>
          <w:szCs w:val="22"/>
        </w:rPr>
      </w:pPr>
      <w:bookmarkStart w:colFirst="0" w:colLast="0" w:name="_wyv0pu6po3fb" w:id="3"/>
      <w:bookmarkEnd w:id="3"/>
      <w:r w:rsidDel="00000000" w:rsidR="00000000" w:rsidRPr="00000000">
        <w:rPr>
          <w:rFonts w:ascii="Arial Unicode MS" w:cs="Arial Unicode MS" w:eastAsia="Arial Unicode MS" w:hAnsi="Arial Unicode MS"/>
          <w:b w:val="1"/>
          <w:bCs w:val="1"/>
          <w:color w:val="000000"/>
          <w:sz w:val="22"/>
          <w:szCs w:val="22"/>
          <w:rtl w:val="0"/>
        </w:rPr>
        <w:t xml:space="preserve">【01. イントロダクション】</w:t>
      </w:r>
    </w:p>
    <w:p w:rsidR="00000000" w:rsidDel="00000000" w:rsidP="00000000" w:rsidRDefault="00000000" w:rsidRPr="00000000" w14:paraId="00000006">
      <w:pPr>
        <w:numPr>
          <w:ilvl w:val="0"/>
          <w:numId w:val="5"/>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w:t>
      </w:r>
      <w:r w:rsidDel="00000000" w:rsidR="00000000" w:rsidRPr="00000000">
        <w:rPr>
          <w:rFonts w:ascii="Arial Unicode MS" w:cs="Arial Unicode MS" w:eastAsia="Arial Unicode MS" w:hAnsi="Arial Unicode MS"/>
          <w:rtl w:val="0"/>
        </w:rPr>
        <w:t xml:space="preserve">: 次世代親子資産継承型AIプラットフォーム『Generative Wealth Bridge（GWB）』の展開戦略</w:t>
      </w:r>
    </w:p>
    <w:p w:rsidR="00000000" w:rsidDel="00000000" w:rsidP="00000000" w:rsidRDefault="00000000" w:rsidRPr="00000000" w14:paraId="00000007">
      <w:pPr>
        <w:numPr>
          <w:ilvl w:val="0"/>
          <w:numId w:val="5"/>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他社クラウド環境に分散している金融機関の基幹データ・取引システムを、Google Cloud（GCP）のハイエンドAI・データアナリティクス基盤へ一元統合させるための強力な戦略的ドアオープナー（ソリューション・フロントドア）の提案。</w:t>
      </w:r>
    </w:p>
    <w:p w:rsidR="00000000" w:rsidDel="00000000" w:rsidP="00000000" w:rsidRDefault="00000000" w:rsidRPr="00000000" w14:paraId="00000008">
      <w:pPr>
        <w:pStyle w:val="Heading4"/>
        <w:keepNext w:val="0"/>
        <w:keepLines w:val="0"/>
        <w:spacing w:after="40" w:before="0" w:lineRule="auto"/>
        <w:rPr>
          <w:b w:val="1"/>
          <w:bCs w:val="1"/>
          <w:color w:val="000000"/>
          <w:sz w:val="22"/>
          <w:szCs w:val="22"/>
        </w:rPr>
      </w:pPr>
      <w:bookmarkStart w:colFirst="0" w:colLast="0" w:name="_ho1k1hazi7ws" w:id="4"/>
      <w:bookmarkEnd w:id="4"/>
      <w:r w:rsidDel="00000000" w:rsidR="00000000" w:rsidRPr="00000000">
        <w:rPr>
          <w:rFonts w:ascii="Arial Unicode MS" w:cs="Arial Unicode MS" w:eastAsia="Arial Unicode MS" w:hAnsi="Arial Unicode MS"/>
          <w:b w:val="1"/>
          <w:bCs w:val="1"/>
          <w:color w:val="000000"/>
          <w:sz w:val="22"/>
          <w:szCs w:val="22"/>
          <w:rtl w:val="0"/>
        </w:rPr>
        <w:t xml:space="preserve">【02. 背景と市場の課題】</w:t>
      </w:r>
    </w:p>
    <w:p w:rsidR="00000000" w:rsidDel="00000000" w:rsidP="00000000" w:rsidRDefault="00000000" w:rsidRPr="00000000" w14:paraId="00000009">
      <w:pPr>
        <w:numPr>
          <w:ilvl w:val="0"/>
          <w:numId w:val="2"/>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w:t>
      </w:r>
      <w:r w:rsidDel="00000000" w:rsidR="00000000" w:rsidRPr="00000000">
        <w:rPr>
          <w:rFonts w:ascii="Arial Unicode MS" w:cs="Arial Unicode MS" w:eastAsia="Arial Unicode MS" w:hAnsi="Arial Unicode MS"/>
          <w:rtl w:val="0"/>
        </w:rPr>
        <w:t xml:space="preserve">: 資産承継期における大手金融機関の最大リスク「資産流出（チャーン）」と税務複雑化</w:t>
      </w:r>
    </w:p>
    <w:p w:rsidR="00000000" w:rsidDel="00000000" w:rsidP="00000000" w:rsidRDefault="00000000" w:rsidRPr="00000000" w14:paraId="0000000A">
      <w:pPr>
        <w:numPr>
          <w:ilvl w:val="0"/>
          <w:numId w:val="2"/>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大相続時代における次世代（子・孫）への資産移行に伴う口座解約リスク。こどもNISA運用、外貨投資における最高裁判決レベルの為替差益雑所得計算、米国ウォッシュセール規制と日本税制の乖離など、個人投資家が直面する高度な税務ハードルを提示。</w:t>
      </w:r>
    </w:p>
    <w:p w:rsidR="00000000" w:rsidDel="00000000" w:rsidP="00000000" w:rsidRDefault="00000000" w:rsidRPr="00000000" w14:paraId="0000000B">
      <w:pPr>
        <w:pStyle w:val="Heading4"/>
        <w:keepNext w:val="0"/>
        <w:keepLines w:val="0"/>
        <w:spacing w:after="40" w:before="0" w:lineRule="auto"/>
        <w:rPr>
          <w:b w:val="1"/>
          <w:bCs w:val="1"/>
          <w:color w:val="000000"/>
          <w:sz w:val="22"/>
          <w:szCs w:val="22"/>
        </w:rPr>
      </w:pPr>
      <w:bookmarkStart w:colFirst="0" w:colLast="0" w:name="_8w6b3tiaa9dx" w:id="5"/>
      <w:bookmarkEnd w:id="5"/>
      <w:r w:rsidDel="00000000" w:rsidR="00000000" w:rsidRPr="00000000">
        <w:rPr>
          <w:rFonts w:ascii="Arial Unicode MS" w:cs="Arial Unicode MS" w:eastAsia="Arial Unicode MS" w:hAnsi="Arial Unicode MS"/>
          <w:b w:val="1"/>
          <w:bCs w:val="1"/>
          <w:color w:val="000000"/>
          <w:sz w:val="22"/>
          <w:szCs w:val="22"/>
          <w:rtl w:val="0"/>
        </w:rPr>
        <w:t xml:space="preserve">【03. ソリューション概要】</w:t>
      </w:r>
    </w:p>
    <w:p w:rsidR="00000000" w:rsidDel="00000000" w:rsidP="00000000" w:rsidRDefault="00000000" w:rsidRPr="00000000" w14:paraId="0000000C">
      <w:pPr>
        <w:numPr>
          <w:ilvl w:val="0"/>
          <w:numId w:val="6"/>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w:t>
      </w:r>
      <w:r w:rsidDel="00000000" w:rsidR="00000000" w:rsidRPr="00000000">
        <w:rPr>
          <w:rFonts w:ascii="Arial Unicode MS" w:cs="Arial Unicode MS" w:eastAsia="Arial Unicode MS" w:hAnsi="Arial Unicode MS"/>
          <w:rtl w:val="0"/>
        </w:rPr>
        <w:t xml:space="preserve">: 安全なガバナンスのもとで親子を繋ぐGCPネイティブAIインフラ</w:t>
      </w:r>
    </w:p>
    <w:p w:rsidR="00000000" w:rsidDel="00000000" w:rsidP="00000000" w:rsidRDefault="00000000" w:rsidRPr="00000000" w14:paraId="0000000D">
      <w:pPr>
        <w:numPr>
          <w:ilvl w:val="0"/>
          <w:numId w:val="6"/>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Vertex AI / BigQuery / Cloud Run を中核としたプラットフォーム。子供向け「パーミッション・ライフサイクル（サンドボックスから実口座昇格）」、および「マルチ為替差益＆米国ウォッシュセール自動制御エンジン」による全自動税務ガバナンスの提供。</w:t>
      </w:r>
    </w:p>
    <w:p w:rsidR="00000000" w:rsidDel="00000000" w:rsidP="00000000" w:rsidRDefault="00000000" w:rsidRPr="00000000" w14:paraId="0000000E">
      <w:pPr>
        <w:pStyle w:val="Heading4"/>
        <w:keepNext w:val="0"/>
        <w:keepLines w:val="0"/>
        <w:spacing w:after="40" w:before="0" w:lineRule="auto"/>
        <w:rPr>
          <w:b w:val="1"/>
          <w:bCs w:val="1"/>
          <w:color w:val="000000"/>
          <w:sz w:val="22"/>
          <w:szCs w:val="22"/>
        </w:rPr>
      </w:pPr>
      <w:bookmarkStart w:colFirst="0" w:colLast="0" w:name="_q8nmcp9ujosv" w:id="6"/>
      <w:bookmarkEnd w:id="6"/>
      <w:r w:rsidDel="00000000" w:rsidR="00000000" w:rsidRPr="00000000">
        <w:rPr>
          <w:rFonts w:ascii="Arial Unicode MS" w:cs="Arial Unicode MS" w:eastAsia="Arial Unicode MS" w:hAnsi="Arial Unicode MS"/>
          <w:b w:val="1"/>
          <w:bCs w:val="1"/>
          <w:color w:val="000000"/>
          <w:sz w:val="22"/>
          <w:szCs w:val="22"/>
          <w:rtl w:val="0"/>
        </w:rPr>
        <w:t xml:space="preserve">【04. ビジネスモデルとインフラ包括リプレース戦略】</w:t>
      </w:r>
    </w:p>
    <w:p w:rsidR="00000000" w:rsidDel="00000000" w:rsidP="00000000" w:rsidRDefault="00000000" w:rsidRPr="00000000" w14:paraId="0000000F">
      <w:pPr>
        <w:numPr>
          <w:ilvl w:val="0"/>
          <w:numId w:val="3"/>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w:t>
      </w:r>
      <w:r w:rsidDel="00000000" w:rsidR="00000000" w:rsidRPr="00000000">
        <w:rPr>
          <w:rFonts w:ascii="Arial Unicode MS" w:cs="Arial Unicode MS" w:eastAsia="Arial Unicode MS" w:hAnsi="Arial Unicode MS"/>
          <w:rtl w:val="0"/>
        </w:rPr>
        <w:t xml:space="preserve">: データの重力（Data Gravity）をレバレッジとしたGCPインフラ統合モデル</w:t>
      </w:r>
    </w:p>
    <w:p w:rsidR="00000000" w:rsidDel="00000000" w:rsidP="00000000" w:rsidRDefault="00000000" w:rsidRPr="00000000" w14:paraId="00000010">
      <w:pPr>
        <w:numPr>
          <w:ilvl w:val="0"/>
          <w:numId w:val="3"/>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本システム（GWB）のライセンス利益率を戦略的に「ゼロ（無償提供）」に設定してフロントドアとして提供。日々の取引・ライフログ・税務計算データがGCP上（BigQuery）に蓄積されることで莫大な「データの重力場」が形成され、マルチクラウド間の通信遅延やEgress料金コストを解消するために、金融機関のコアインフラ全体のGCP移行（リプレース）を達成するシナリオを提示。</w:t>
      </w:r>
    </w:p>
    <w:p w:rsidR="00000000" w:rsidDel="00000000" w:rsidP="00000000" w:rsidRDefault="00000000" w:rsidRPr="00000000" w14:paraId="00000011">
      <w:pPr>
        <w:pStyle w:val="Heading4"/>
        <w:keepNext w:val="0"/>
        <w:keepLines w:val="0"/>
        <w:spacing w:after="40" w:before="0" w:lineRule="auto"/>
        <w:rPr>
          <w:b w:val="1"/>
          <w:bCs w:val="1"/>
          <w:color w:val="000000"/>
          <w:sz w:val="22"/>
          <w:szCs w:val="22"/>
        </w:rPr>
      </w:pPr>
      <w:bookmarkStart w:colFirst="0" w:colLast="0" w:name="_vayu3br900i2" w:id="7"/>
      <w:bookmarkEnd w:id="7"/>
      <w:r w:rsidDel="00000000" w:rsidR="00000000" w:rsidRPr="00000000">
        <w:rPr>
          <w:rFonts w:ascii="Arial Unicode MS" w:cs="Arial Unicode MS" w:eastAsia="Arial Unicode MS" w:hAnsi="Arial Unicode MS"/>
          <w:b w:val="1"/>
          <w:bCs w:val="1"/>
          <w:color w:val="000000"/>
          <w:sz w:val="22"/>
          <w:szCs w:val="22"/>
          <w:rtl w:val="0"/>
        </w:rPr>
        <w:t xml:space="preserve">【05. ガバナンス＆リーガル・税務ガードレール】</w:t>
      </w:r>
    </w:p>
    <w:p w:rsidR="00000000" w:rsidDel="00000000" w:rsidP="00000000" w:rsidRDefault="00000000" w:rsidRPr="00000000" w14:paraId="00000012">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w:t>
      </w:r>
      <w:r w:rsidDel="00000000" w:rsidR="00000000" w:rsidRPr="00000000">
        <w:rPr>
          <w:rFonts w:ascii="Arial Unicode MS" w:cs="Arial Unicode MS" w:eastAsia="Arial Unicode MS" w:hAnsi="Arial Unicode MS"/>
          <w:rtl w:val="0"/>
        </w:rPr>
        <w:t xml:space="preserve">: コンプライアンス・税務リスクをシステムレベルで完全カプセル化する多重の安全弁</w:t>
      </w:r>
    </w:p>
    <w:p w:rsidR="00000000" w:rsidDel="00000000" w:rsidP="00000000" w:rsidRDefault="00000000" w:rsidRPr="00000000" w14:paraId="00000013">
      <w:pPr>
        <w:numPr>
          <w:ilvl w:val="0"/>
          <w:numId w:val="1"/>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tl w:val="0"/>
        </w:rPr>
        <w:t xml:space="preserve">:</w:t>
      </w:r>
    </w:p>
    <w:p w:rsidR="00000000" w:rsidDel="00000000" w:rsidP="00000000" w:rsidRDefault="00000000" w:rsidRPr="00000000" w14:paraId="00000014">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金融商品取引法・投資助言規制をクリアするVertex AI出力層での「特定個別銘柄推奨の物理遮断（ハード・ガードレール）」。</w:t>
      </w:r>
    </w:p>
    <w:p w:rsidR="00000000" w:rsidDel="00000000" w:rsidP="00000000" w:rsidRDefault="00000000" w:rsidRPr="00000000" w14:paraId="00000015">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こどもNISA「成長投資枠」の物理遮断と「つみたて投資枠」への限定ロック。</w:t>
      </w:r>
    </w:p>
    <w:p w:rsidR="00000000" w:rsidDel="00000000" w:rsidP="00000000" w:rsidRDefault="00000000" w:rsidRPr="00000000" w14:paraId="00000016">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税務境界値（暦年贈与110万円 / こどもNISA 60万円）のバウンダリ管理と自動ホールド。</w:t>
      </w:r>
    </w:p>
    <w:p w:rsidR="00000000" w:rsidDel="00000000" w:rsidP="00000000" w:rsidRDefault="00000000" w:rsidRPr="00000000" w14:paraId="00000017">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スマート電子都度贈与プロトコル（電子署名・タイムスタンプ、ゆらぎ制御、目的別タグ付け）による定期贈与・名義預金認定回避。</w:t>
      </w:r>
    </w:p>
    <w:p w:rsidR="00000000" w:rsidDel="00000000" w:rsidP="00000000" w:rsidRDefault="00000000" w:rsidRPr="00000000" w14:paraId="00000018">
      <w:pPr>
        <w:numPr>
          <w:ilvl w:val="1"/>
          <w:numId w:val="1"/>
        </w:numPr>
        <w:spacing w:after="0" w:afterAutospacing="0" w:lineRule="auto"/>
        <w:ind w:left="1440" w:hanging="360"/>
      </w:pPr>
      <w:r w:rsidDel="00000000" w:rsidR="00000000" w:rsidRPr="00000000">
        <w:rPr>
          <w:rFonts w:ascii="Arial Unicode MS" w:cs="Arial Unicode MS" w:eastAsia="Arial Unicode MS" w:hAnsi="Arial Unicode MS"/>
          <w:rtl w:val="0"/>
        </w:rPr>
        <w:t xml:space="preserve">最高裁判決対応「為替差益自動計算エンジン（雑所得20万円アラート）」。</w:t>
      </w:r>
    </w:p>
    <w:p w:rsidR="00000000" w:rsidDel="00000000" w:rsidP="00000000" w:rsidRDefault="00000000" w:rsidRPr="00000000" w14:paraId="00000019">
      <w:pPr>
        <w:numPr>
          <w:ilvl w:val="1"/>
          <w:numId w:val="1"/>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米国ウォッシュセール（61日ルール）のリアルタイム自動検知＆日米税制差分補正。</w:t>
      </w:r>
    </w:p>
    <w:p w:rsidR="00000000" w:rsidDel="00000000" w:rsidP="00000000" w:rsidRDefault="00000000" w:rsidRPr="00000000" w14:paraId="0000001A">
      <w:pPr>
        <w:numPr>
          <w:ilvl w:val="1"/>
          <w:numId w:val="1"/>
        </w:numPr>
        <w:spacing w:after="0" w:afterAutospacing="0" w:lineRule="auto"/>
        <w:ind w:left="1440" w:hanging="360"/>
        <w:rPr/>
      </w:pPr>
      <w:r w:rsidDel="00000000" w:rsidR="00000000" w:rsidRPr="00000000">
        <w:rPr>
          <w:rFonts w:ascii="Arial Unicode MS" w:cs="Arial Unicode MS" w:eastAsia="Arial Unicode MS" w:hAnsi="Arial Unicode MS"/>
          <w:rtl w:val="0"/>
        </w:rPr>
        <w:t xml:space="preserve">全口座属性（NISA/特定［源泉あり・なし］/一般）の自動識別、通算損益管理、およびミニマムタックス（将来30%税率）ストレステスト。</w:t>
      </w:r>
    </w:p>
    <w:p w:rsidR="00000000" w:rsidDel="00000000" w:rsidP="00000000" w:rsidRDefault="00000000" w:rsidRPr="00000000" w14:paraId="0000001B">
      <w:pPr>
        <w:numPr>
          <w:ilvl w:val="1"/>
          <w:numId w:val="1"/>
        </w:numPr>
        <w:spacing w:after="240" w:lineRule="auto"/>
        <w:ind w:left="1440" w:hanging="360"/>
      </w:pPr>
      <w:r w:rsidDel="00000000" w:rsidR="00000000" w:rsidRPr="00000000">
        <w:rPr>
          <w:rFonts w:ascii="Arial Unicode MS" w:cs="Arial Unicode MS" w:eastAsia="Arial Unicode MS" w:hAnsi="Arial Unicode MS"/>
          <w:rtl w:val="0"/>
        </w:rPr>
        <w:t xml:space="preserve">地政学リスクや税制変更等に対し、金融機関担当者の手動介入を可能にする「レギュラトリー・リスク・ゲートウェイ（2レイヤー・ホールド承認ワークフロー）」。</w:t>
      </w:r>
    </w:p>
    <w:p w:rsidR="00000000" w:rsidDel="00000000" w:rsidP="00000000" w:rsidRDefault="00000000" w:rsidRPr="00000000" w14:paraId="0000001C">
      <w:pPr>
        <w:pStyle w:val="Heading4"/>
        <w:keepNext w:val="0"/>
        <w:keepLines w:val="0"/>
        <w:spacing w:after="40" w:before="0" w:lineRule="auto"/>
        <w:rPr>
          <w:b w:val="1"/>
          <w:bCs w:val="1"/>
          <w:color w:val="000000"/>
          <w:sz w:val="22"/>
          <w:szCs w:val="22"/>
        </w:rPr>
      </w:pPr>
      <w:bookmarkStart w:colFirst="0" w:colLast="0" w:name="_x3i7tnvobvze" w:id="8"/>
      <w:bookmarkEnd w:id="8"/>
      <w:r w:rsidDel="00000000" w:rsidR="00000000" w:rsidRPr="00000000">
        <w:rPr>
          <w:rFonts w:ascii="Arial Unicode MS" w:cs="Arial Unicode MS" w:eastAsia="Arial Unicode MS" w:hAnsi="Arial Unicode MS"/>
          <w:b w:val="1"/>
          <w:bCs w:val="1"/>
          <w:color w:val="000000"/>
          <w:sz w:val="22"/>
          <w:szCs w:val="22"/>
          <w:rtl w:val="0"/>
        </w:rPr>
        <w:t xml:space="preserve">【06. 結論とロードマップ】</w:t>
      </w:r>
    </w:p>
    <w:p w:rsidR="00000000" w:rsidDel="00000000" w:rsidP="00000000" w:rsidRDefault="00000000" w:rsidRPr="00000000" w14:paraId="0000001D">
      <w:pPr>
        <w:numPr>
          <w:ilvl w:val="0"/>
          <w:numId w:val="4"/>
        </w:numPr>
        <w:spacing w:after="0" w:afterAutospacing="0" w:lineRule="auto"/>
        <w:ind w:left="720" w:hanging="360"/>
      </w:pPr>
      <w:r w:rsidDel="00000000" w:rsidR="00000000" w:rsidRPr="00000000">
        <w:rPr>
          <w:rFonts w:ascii="Arial Unicode MS" w:cs="Arial Unicode MS" w:eastAsia="Arial Unicode MS" w:hAnsi="Arial Unicode MS"/>
          <w:b w:val="1"/>
          <w:bCs w:val="1"/>
          <w:rtl w:val="0"/>
        </w:rPr>
        <w:t xml:space="preserve">スライド</w:t>
      </w:r>
      <w:r w:rsidDel="00000000" w:rsidR="00000000" w:rsidRPr="00000000">
        <w:rPr>
          <w:rFonts w:ascii="Arial Unicode MS" w:cs="Arial Unicode MS" w:eastAsia="Arial Unicode MS" w:hAnsi="Arial Unicode MS"/>
          <w:rtl w:val="0"/>
        </w:rPr>
        <w:t xml:space="preserve">: グローバル・ロードマップと初動マイルストーン</w:t>
      </w:r>
    </w:p>
    <w:p w:rsidR="00000000" w:rsidDel="00000000" w:rsidP="00000000" w:rsidRDefault="00000000" w:rsidRPr="00000000" w14:paraId="0000001E">
      <w:pPr>
        <w:numPr>
          <w:ilvl w:val="0"/>
          <w:numId w:val="4"/>
        </w:numPr>
        <w:spacing w:after="240" w:lineRule="auto"/>
        <w:ind w:left="720" w:hanging="360"/>
      </w:pPr>
      <w:r w:rsidDel="00000000" w:rsidR="00000000" w:rsidRPr="00000000">
        <w:rPr>
          <w:rFonts w:ascii="Arial Unicode MS" w:cs="Arial Unicode MS" w:eastAsia="Arial Unicode MS" w:hAnsi="Arial Unicode MS"/>
          <w:b w:val="1"/>
          <w:bCs w:val="1"/>
          <w:rtl w:val="0"/>
        </w:rPr>
        <w:t xml:space="preserve">メッセージ</w:t>
      </w:r>
      <w:r w:rsidDel="00000000" w:rsidR="00000000" w:rsidRPr="00000000">
        <w:rPr>
          <w:rFonts w:ascii="Arial Unicode MS" w:cs="Arial Unicode MS" w:eastAsia="Arial Unicode MS" w:hAnsi="Arial Unicode MS"/>
          <w:rtl w:val="0"/>
        </w:rPr>
        <w:t xml:space="preserve">: Phase 1（米国市場でのメガバンク/Robinhood導入による世界標準化）から Phase 2（日本市場ローカライズ）への展開。承認直後24時間以内に始動する初動タスクへの決裁要求。</w:t>
      </w:r>
    </w:p>
    <w:p w:rsidR="00000000" w:rsidDel="00000000" w:rsidP="00000000" w:rsidRDefault="00000000" w:rsidRPr="00000000" w14:paraId="0000001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