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scv832nzcem1" w:id="0"/>
      <w:bookmarkEnd w:id="0"/>
      <w:r w:rsidDel="00000000" w:rsidR="00000000" w:rsidRPr="00000000">
        <w:rPr>
          <w:rFonts w:ascii="Arial Unicode MS" w:cs="Arial Unicode MS" w:eastAsia="Arial Unicode MS" w:hAnsi="Arial Unicode MS"/>
          <w:b w:val="1"/>
          <w:bCs w:val="1"/>
          <w:sz w:val="46"/>
          <w:szCs w:val="46"/>
          <w:rtl w:val="0"/>
        </w:rPr>
        <w:t xml:space="preserve">09_事業計画の査察・防衛ロジック（改訂版・仕様書v7.1準拠）</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a4m3km36wmrb"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社内査察（リーガル・リスク管理委員会・監査部）および提携金融機関のコンプライアンス部門からの懸念に対し、本事業計画（GWB）の「リーガル・税務・制度・インフラの完全性」を提示し、反論の余地を与えずに承認を獲得するための防衛ロジックおよび論拠を網羅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2fevzk49vn0l"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査察想定指摘と完全防衛ロジック</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cm0e1ffd4d2a" w:id="3"/>
      <w:bookmarkEnd w:id="3"/>
      <w:r w:rsidDel="00000000" w:rsidR="00000000" w:rsidRPr="00000000">
        <w:rPr>
          <w:rFonts w:ascii="Arial Unicode MS" w:cs="Arial Unicode MS" w:eastAsia="Arial Unicode MS" w:hAnsi="Arial Unicode MS"/>
          <w:b w:val="1"/>
          <w:bCs w:val="1"/>
          <w:color w:val="000000"/>
          <w:sz w:val="22"/>
          <w:szCs w:val="22"/>
          <w:rtl w:val="0"/>
        </w:rPr>
        <w:t xml:space="preserve">【指摘1：未成年者の投資行動介入および個別銘柄推奨による金融商品取引法（投資助言）違反のリスク】</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防衛ロジック（ハード・ガードレール）</w:t>
      </w:r>
      <w:r w:rsidDel="00000000" w:rsidR="00000000" w:rsidRPr="00000000">
        <w:rPr>
          <w:rtl w:val="0"/>
        </w:rPr>
        <w:t xml:space="preserve">:</w:t>
      </w:r>
    </w:p>
    <w:p w:rsidR="00000000" w:rsidDel="00000000" w:rsidP="00000000" w:rsidRDefault="00000000" w:rsidRPr="00000000" w14:paraId="00000007">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システムはAIのアウトプット層に「特定個別銘柄の推奨」「売買タイミングの指示」「断定的利益の約束」を絶対に吐き出させない物理的なハード・ガードレール（出力検閲ロック）を実装している。</w:t>
      </w:r>
    </w:p>
    <w:p w:rsidR="00000000" w:rsidDel="00000000" w:rsidP="00000000" w:rsidRDefault="00000000" w:rsidRPr="00000000" w14:paraId="00000008">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また、「こどもNISA・つみたて投資枠ハードロック」により、個別株やアクティブファンド等の成長投資枠に該当する金融商品の選択動線および発注シグナルをハードコードで完全遮断している。</w:t>
      </w:r>
    </w:p>
    <w:p w:rsidR="00000000" w:rsidDel="00000000" w:rsidP="00000000" w:rsidRDefault="00000000" w:rsidRPr="00000000" w14:paraId="00000009">
      <w:pPr>
        <w:numPr>
          <w:ilvl w:val="1"/>
          <w:numId w:val="5"/>
        </w:numPr>
        <w:spacing w:after="240" w:lineRule="auto"/>
        <w:ind w:left="1440" w:hanging="360"/>
      </w:pPr>
      <w:r w:rsidDel="00000000" w:rsidR="00000000" w:rsidRPr="00000000">
        <w:rPr>
          <w:rFonts w:ascii="Arial Unicode MS" w:cs="Arial Unicode MS" w:eastAsia="Arial Unicode MS" w:hAnsi="Arial Unicode MS"/>
          <w:rtl w:val="0"/>
        </w:rPr>
        <w:t xml:space="preserve">選択肢は長期・積立・分散投資に適した公募投資信託等に物理限定されており、AIは単なるユーザー行動ログの解釈と学習効果のシミュレーションのみを担当する。法的責任およびコンプライアンス管理は、フロントに立つ金融機関の既存免責レイヤーに完全に準拠・隔離される。</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4hvlltu66qj3" w:id="4"/>
      <w:bookmarkEnd w:id="4"/>
      <w:r w:rsidDel="00000000" w:rsidR="00000000" w:rsidRPr="00000000">
        <w:rPr>
          <w:rFonts w:ascii="Arial Unicode MS" w:cs="Arial Unicode MS" w:eastAsia="Arial Unicode MS" w:hAnsi="Arial Unicode MS"/>
          <w:b w:val="1"/>
          <w:bCs w:val="1"/>
          <w:color w:val="000000"/>
          <w:sz w:val="22"/>
          <w:szCs w:val="22"/>
          <w:rtl w:val="0"/>
        </w:rPr>
        <w:t xml:space="preserve">【指摘2：親子間贈与における「定期贈与（一括課税）」判定および名義預金認定による税務トラブル・過失リスク】</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防衛ロジック（スマート電子都度贈与プロトコル）</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システムはバックエンドで「スマート電子都度贈与・定期贈与判定回避ワークフロー」を自動実行している。</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資金移動指示のたびに暗号化電子署名と最高裁判決等に準拠したタイムスタンプが付与された「都度贈与合意書データ」を即時生成・保存し、税務調査時の客観的証拠（エビデンス）を自動確保する。</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毎月定額の送金ではなく、子供の学習・生活ログに連動させた動的な「ゆらぎ（変調）送金パルス」を適用することで、事前に定められた定期金給付契約との判定を物理的に回避する。</w:t>
      </w:r>
    </w:p>
    <w:p w:rsidR="00000000" w:rsidDel="00000000" w:rsidP="00000000" w:rsidRDefault="00000000" w:rsidRPr="00000000" w14:paraId="0000000F">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親からの資金投入に対し「お小遣い対価」「金融教材資材費」「自立支援暦年贈与」の属性タグ（マルチカテゴリタグ）を自動付与してメタデータ化し、使途の透明性を立証する。</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oepgtociyu65" w:id="5"/>
      <w:bookmarkEnd w:id="5"/>
      <w:r w:rsidDel="00000000" w:rsidR="00000000" w:rsidRPr="00000000">
        <w:rPr>
          <w:rFonts w:ascii="Arial Unicode MS" w:cs="Arial Unicode MS" w:eastAsia="Arial Unicode MS" w:hAnsi="Arial Unicode MS"/>
          <w:b w:val="1"/>
          <w:bCs w:val="1"/>
          <w:color w:val="000000"/>
          <w:sz w:val="22"/>
          <w:szCs w:val="22"/>
          <w:rtl w:val="0"/>
        </w:rPr>
        <w:t xml:space="preserve">【指摘3：年間110万円の贈与税基礎控除枠、こどもNISA年間非課税枠（60万円）、および外貨運用に伴う雑所得非課税枠（20万円）の超過による税務エラー】</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防衛ロジック（マルチ・バウンダリ物理ロック）</w:t>
      </w:r>
      <w:r w:rsidDel="00000000" w:rsidR="00000000" w:rsidRPr="00000000">
        <w:rPr>
          <w:rtl w:val="0"/>
        </w:rPr>
        <w:t xml:space="preserve">:</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本の贈与税法における「年間110万円」、こどもNISAにおける「年間60万円」、および外貨運用時の「年間20万円（雑所得非課税枠）」をシステム上の絶対的な境界値（バウンダリ）としてハードコードしている。</w:t>
      </w:r>
    </w:p>
    <w:p w:rsidR="00000000" w:rsidDel="00000000" w:rsidP="00000000" w:rsidRDefault="00000000" w:rsidRPr="00000000" w14:paraId="00000013">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累積額および評価差益が境界値に接近した時点で親コンソールへスマート通知し、境界値を突破するトランザクションはシステム側で自動ホールド（物理ロック）され、金融機関の対面・ハイブリッド型税務コンサルティング動線へ最適ルーティングされる。過失による税務エラーの発生確率は0%である。</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ki0oyrcltpn1" w:id="6"/>
      <w:bookmarkEnd w:id="6"/>
      <w:r w:rsidDel="00000000" w:rsidR="00000000" w:rsidRPr="00000000">
        <w:rPr>
          <w:rFonts w:ascii="Arial Unicode MS" w:cs="Arial Unicode MS" w:eastAsia="Arial Unicode MS" w:hAnsi="Arial Unicode MS"/>
          <w:b w:val="1"/>
          <w:bCs w:val="1"/>
          <w:color w:val="000000"/>
          <w:sz w:val="22"/>
          <w:szCs w:val="22"/>
          <w:rtl w:val="0"/>
        </w:rPr>
        <w:t xml:space="preserve">【指摘4：特定/一般口座の誤運用、損益通算漏れ、将来30%増税トラブル、および米株運用に伴う「複雑な為替差益・日米税制差分・ウォッシュセール（30日ルール）」リスク】</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防衛ロジック（口座属性識別＆日米税制差分補正エンジン・ウォッシュセール検知）</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口座属性（NISA/特定/一般）の自動識別モジュールと将来30%課税（ミニマムタックス強化等）ストレステスト・シミュレータを標準搭載し、税制変更や口座選択ミスによる想定外の課税トラブルを防止。</w:t>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複数口座間に跨がるリアルタイム損益通算および繰越控除トラッキング機能に加え、「日米税制の差分補正ロジック」および「米国株ウォッシュセール規制（30日ルール）事前判定エンジン」を搭載。短期間での損出しクロス取引や損益の意図せぬ繰り延べ不可判定を事前検知・警告し、複雑なクロスボーダー税務の過失リスクを防止する。</w:t>
      </w:r>
    </w:p>
    <w:p w:rsidR="00000000" w:rsidDel="00000000" w:rsidP="00000000" w:rsidRDefault="00000000" w:rsidRPr="00000000" w14:paraId="00000018">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「為替差益自動計算エンジン（移動平均法・総平均法ミリ秒処理）」をBigQuery/Vertex AI連携レイヤーに標準搭載。小額・高頻度な外貨トレードであってもリアルタイムで正確な評価差益・雑所得額を自動算出する。</w:t>
      </w:r>
    </w:p>
    <w:p w:rsidR="00000000" w:rsidDel="00000000" w:rsidP="00000000" w:rsidRDefault="00000000" w:rsidRPr="00000000" w14:paraId="00000019">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「確定申告サポートデータ（CSV/PDF/XML）ワンクリック出力機能」により、ユーザーおよび提携金融機関のサポート負担と税務計算エラーを完全排除している。</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gest2ul5mgt4" w:id="7"/>
      <w:bookmarkEnd w:id="7"/>
      <w:r w:rsidDel="00000000" w:rsidR="00000000" w:rsidRPr="00000000">
        <w:rPr>
          <w:rFonts w:ascii="Arial Unicode MS" w:cs="Arial Unicode MS" w:eastAsia="Arial Unicode MS" w:hAnsi="Arial Unicode MS"/>
          <w:b w:val="1"/>
          <w:bCs w:val="1"/>
          <w:color w:val="000000"/>
          <w:sz w:val="22"/>
          <w:szCs w:val="22"/>
          <w:rtl w:val="0"/>
        </w:rPr>
        <w:t xml:space="preserve">【指摘5：金融庁や提携金融機関に対する「GCP一元化（リプレース）」の裏目的露出による信用失墜リスク】</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防衛ロジック（ROI重視の技術提案 &amp; オープン・プロバイダー）</w:t>
      </w:r>
      <w:r w:rsidDel="00000000" w:rsidR="00000000" w:rsidRPr="00000000">
        <w:rPr>
          <w:rtl w:val="0"/>
        </w:rPr>
        <w:t xml:space="preserve">:</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GCP（BigQuery/Vertex AI/Cloud Run等）へのインフラ移行は、導入の強制ではなく、AIのリアルタイム解析性能やミリ秒処理（日米税率・ウォッシュセール・為替計算）を最大限に発揮しつつTCO（総所有コスト）を最適化するための「技術的・経済的合理性（ROI：移行後3ヶ月での投資回収）」に基づく純粋な推奨として提示される。</w:t>
      </w:r>
    </w:p>
    <w:p w:rsidR="00000000" w:rsidDel="00000000" w:rsidP="00000000" w:rsidRDefault="00000000" w:rsidRPr="00000000" w14:paraId="0000001D">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金融庁への対応として、特定金融機関への誘導を行わない公明正大なサンドボックス環境を維持し、口座開設動線には複数社を客観提示する「オープン・プロバイダー・プロトコル」を適用する。</w:t>
      </w:r>
    </w:p>
    <w:p w:rsidR="00000000" w:rsidDel="00000000" w:rsidP="00000000" w:rsidRDefault="00000000" w:rsidRPr="00000000" w14:paraId="0000001E">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さらに、提携機関に「経済制裁」「業務停止命令」「最高裁判決等の重大な制度・税制・課税方針の変更（将来30%課税設定含む）」が発生した場合は「可変型リスク・ゲートウェイ」が起動し、該当機関への動線をセミオートで即座に制限・保護できるため、行政からの信頼性を完璧に担保できる。</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u404q9jnpwmh" w:id="8"/>
      <w:bookmarkEnd w:id="8"/>
      <w:r w:rsidDel="00000000" w:rsidR="00000000" w:rsidRPr="00000000">
        <w:rPr>
          <w:rFonts w:ascii="Arial Unicode MS" w:cs="Arial Unicode MS" w:eastAsia="Arial Unicode MS" w:hAnsi="Arial Unicode MS"/>
          <w:b w:val="1"/>
          <w:bCs w:val="1"/>
          <w:color w:val="000000"/>
          <w:sz w:val="26"/>
          <w:szCs w:val="26"/>
          <w:rtl w:val="0"/>
        </w:rPr>
        <w:t xml:space="preserve">3. 結論</w:t>
      </w:r>
    </w:p>
    <w:p w:rsidR="00000000" w:rsidDel="00000000" w:rsidP="00000000" w:rsidRDefault="00000000" w:rsidRPr="00000000" w14:paraId="00000020">
      <w:pPr>
        <w:spacing w:after="240" w:lineRule="auto"/>
        <w:rPr/>
      </w:pPr>
      <w:r w:rsidDel="00000000" w:rsidR="00000000" w:rsidRPr="00000000">
        <w:rPr>
          <w:rFonts w:ascii="Arial Unicode MS" w:cs="Arial Unicode MS" w:eastAsia="Arial Unicode MS" w:hAnsi="Arial Unicode MS"/>
          <w:rtl w:val="0"/>
        </w:rPr>
        <w:t xml:space="preserve">本事業計画は、法的リスク、税務リスク、クロスボーダーリスク（ウォッシュセール・日米税率差）、制度逸脱リスク、および行政リスクの全てをシステムレイヤー（v7_1ガバナンス仕様）において物理的に遮断・カプセル化している。社内査察における懸念事項は全て払拭されており、即時事業化・投資承認を行うことが最も合理的である。</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