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du9f6chxfqx4" w:id="0"/>
      <w:bookmarkEnd w:id="0"/>
      <w:r w:rsidDel="00000000" w:rsidR="00000000" w:rsidRPr="00000000">
        <w:rPr>
          <w:rFonts w:ascii="Arial Unicode MS" w:cs="Arial Unicode MS" w:eastAsia="Arial Unicode MS" w:hAnsi="Arial Unicode MS"/>
          <w:b w:val="1"/>
          <w:bCs w:val="1"/>
          <w:sz w:val="46"/>
          <w:szCs w:val="46"/>
          <w:rtl w:val="0"/>
        </w:rPr>
        <w:t xml:space="preserve">10_総合サマリー＆運用チェックリスト（改訂版・仕様書v7.1準拠）</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zc8c0pie6vd"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仕様書 v7_1（米国株ウォッシュセール規制・日米税制差分補正・口座属性別課税＆損益通算対応版）に基づき、プロジェクト（Generative Wealth Bridge / GWB）のローンチに向けた最終運用チェックリストおよびガバナンス遵守基準を明確化する。</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dadq3a3by5ht"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主要改訂要素の統合サマリー</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こどもNISA・つみたて投資枠ハードロック</w:t>
      </w:r>
      <w:r w:rsidDel="00000000" w:rsidR="00000000" w:rsidRPr="00000000">
        <w:rPr>
          <w:rFonts w:ascii="Arial Unicode MS" w:cs="Arial Unicode MS" w:eastAsia="Arial Unicode MS" w:hAnsi="Arial Unicode MS"/>
          <w:rtl w:val="0"/>
        </w:rPr>
        <w:t xml:space="preserve">: 成長投資枠（個別株・アクティブファンド等）の選択動線および発注シグナルをハードコードで完全遮断し、健全な積立投資（公募投資信託等）に物理限定。</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口座属性自動識別＆将来30%課税（ミニマムタックス）対応</w:t>
      </w:r>
      <w:r w:rsidDel="00000000" w:rsidR="00000000" w:rsidRPr="00000000">
        <w:rPr>
          <w:rFonts w:ascii="Arial Unicode MS" w:cs="Arial Unicode MS" w:eastAsia="Arial Unicode MS" w:hAnsi="Arial Unicode MS"/>
          <w:rtl w:val="0"/>
        </w:rPr>
        <w:t xml:space="preserve">: 口座種別に応じた課税ルールの適用、将来の増税シナリオ（30%）を想定したシミュレーションおよびマルチ口座損益通算・繰越控除の自動化。</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日米税制差分補正＆米国株ウォッシュセール（30日ルール）エンジン</w:t>
      </w:r>
      <w:r w:rsidDel="00000000" w:rsidR="00000000" w:rsidRPr="00000000">
        <w:rPr>
          <w:rFonts w:ascii="Arial Unicode MS" w:cs="Arial Unicode MS" w:eastAsia="Arial Unicode MS" w:hAnsi="Arial Unicode MS"/>
          <w:rtl w:val="0"/>
        </w:rPr>
        <w:t xml:space="preserve">: 日米間の課税差分の自動調整ロジックに加え、30日以内の同一・実質同一銘柄の再取得に伴う損失控除否認（ウォッシュセール規制）を事前に検知・制御するガードレールを新設。</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マルチ税務絶対境界値ロック（110万円 / 60万円 / 20万円）</w:t>
      </w:r>
      <w:r w:rsidDel="00000000" w:rsidR="00000000" w:rsidRPr="00000000">
        <w:rPr>
          <w:rFonts w:ascii="Arial Unicode MS" w:cs="Arial Unicode MS" w:eastAsia="Arial Unicode MS" w:hAnsi="Arial Unicode MS"/>
          <w:rtl w:val="0"/>
        </w:rPr>
        <w:t xml:space="preserve">: 暦年贈与の基礎控除額（年間110万円）、こどもNISA年間非課税枠（60万円）、および外貨運用に伴う雑所得非課税枠（年間20万円）の境界値接近アラート、および超過トランザクションの自動ホールド（物理ロック）。</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スマート電子都度贈与プロトコル</w:t>
      </w:r>
      <w:r w:rsidDel="00000000" w:rsidR="00000000" w:rsidRPr="00000000">
        <w:rPr>
          <w:rFonts w:ascii="Arial Unicode MS" w:cs="Arial Unicode MS" w:eastAsia="Arial Unicode MS" w:hAnsi="Arial Unicode MS"/>
          <w:rtl w:val="0"/>
        </w:rPr>
        <w:t xml:space="preserve">: 暗号化電子署名・最高裁判決等に準拠したタイムスタンプ付き都度合意書の自動生成、学習ログ連動のゆらぎ送金パルス、目的別マルチカテゴリタグ付けによる定期贈与・名義預金認定の完全回避。</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為替差益自動計算エンジン＆確定申告支援</w:t>
      </w:r>
      <w:r w:rsidDel="00000000" w:rsidR="00000000" w:rsidRPr="00000000">
        <w:rPr>
          <w:rFonts w:ascii="Arial Unicode MS" w:cs="Arial Unicode MS" w:eastAsia="Arial Unicode MS" w:hAnsi="Arial Unicode MS"/>
          <w:rtl w:val="0"/>
        </w:rPr>
        <w:t xml:space="preserve">: 米株・外貨運用時の為替差益をミリ秒処理（移動平均法・総平均法）でリアルタイム計算し、確定申告サポートデータ（CSV/PDF/XML）のワンクリック出力を可能化。</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可変型レギュラトリー・リスク・ゲートウェイ</w:t>
      </w:r>
      <w:r w:rsidDel="00000000" w:rsidR="00000000" w:rsidRPr="00000000">
        <w:rPr>
          <w:rFonts w:ascii="Arial Unicode MS" w:cs="Arial Unicode MS" w:eastAsia="Arial Unicode MS" w:hAnsi="Arial Unicode MS"/>
          <w:rtl w:val="0"/>
        </w:rPr>
        <w:t xml:space="preserve">: 経済制裁、行政指導（業務停止命令）、最高裁判決や税制変更（将来30%課税設定含む）等の重大リスクに対するシグナル捕獲（ステージング）およびセミオート制御。</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エッジ処理バースト・ミリ秒処理対策</w:t>
      </w:r>
      <w:r w:rsidDel="00000000" w:rsidR="00000000" w:rsidRPr="00000000">
        <w:rPr>
          <w:rFonts w:ascii="Arial Unicode MS" w:cs="Arial Unicode MS" w:eastAsia="Arial Unicode MS" w:hAnsi="Arial Unicode MS"/>
          <w:rtl w:val="0"/>
        </w:rPr>
        <w:t xml:space="preserve">: WebAssembly（Wasm）によるクライアント側事前判定およびFirebase Extensions・BigQuery連携等によるリアルタイム非同期処理での負荷平坦化。</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yyn49nph3mq9"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リリース前コンプライアンス・運用チェックリスト</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3dkcbmssaeuu" w:id="4"/>
      <w:bookmarkEnd w:id="4"/>
      <w:r w:rsidDel="00000000" w:rsidR="00000000" w:rsidRPr="00000000">
        <w:rPr>
          <w:rFonts w:ascii="Arial Unicode MS" w:cs="Arial Unicode MS" w:eastAsia="Arial Unicode MS" w:hAnsi="Arial Unicode MS"/>
          <w:b w:val="1"/>
          <w:bCs w:val="1"/>
          <w:color w:val="000000"/>
          <w:sz w:val="22"/>
          <w:szCs w:val="22"/>
          <w:rtl w:val="0"/>
        </w:rPr>
        <w:t xml:space="preserve">【法的・コンプライアンス管理】</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Vertex AI出力検閲フィルター（ハード・ガードレール）により「特定個別銘柄推奨」「断定的利益」が出力されないことを検証済みか</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こどもNISA成長投資枠の物理遮断コードがフロント・バックエンド双方で正常動作しているか</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rFonts w:ascii="Arial Unicode MS" w:cs="Arial Unicode MS" w:eastAsia="Arial Unicode MS" w:hAnsi="Arial Unicode MS"/>
          <w:rtl w:val="0"/>
        </w:rPr>
        <w:t xml:space="preserve">フロント側の口座選択動線が複数社を表示する「オープン・プロバイダー・プロトコル」に対応しているか</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94zztc4p60az" w:id="5"/>
      <w:bookmarkEnd w:id="5"/>
      <w:r w:rsidDel="00000000" w:rsidR="00000000" w:rsidRPr="00000000">
        <w:rPr>
          <w:rFonts w:ascii="Arial Unicode MS" w:cs="Arial Unicode MS" w:eastAsia="Arial Unicode MS" w:hAnsi="Arial Unicode MS"/>
          <w:b w:val="1"/>
          <w:bCs w:val="1"/>
          <w:color w:val="000000"/>
          <w:sz w:val="22"/>
          <w:szCs w:val="22"/>
          <w:rtl w:val="0"/>
        </w:rPr>
        <w:t xml:space="preserve">【税務・口座・米株ガバナンス管理】</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口座属性（NISA/特定源泉あり・なし/一般）の自動識別ロジックが正常に機能しているか</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マルチ口座間の損益通算および繰越控除の試算・トラッキングが正確に実行されるか</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米国株取引における「ウォッシュセール規制（30日ルール）」の自動判定および事前警告・制御ロジックが正確に機能するか</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日米二重課税・税率差分を補正するバックエンド計算ロジックが正常に反映されているか</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将来30%課税シナリオによるストレステスト機能が正しくシミュレーション結果に反映されるか</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年間110万円、60万円、および20万円（外貨運用雑所得）到達時の自動ホールド機能およびコンサルティングルーティングが正常作動するか</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都度贈与合意書データへの最高裁判決等準拠タイムスタンプ付与およびバックエンド暗号化保存が確認されているか</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毎月定額とならない「ゆらぎ送金パルス」生成アルゴリズムの動作検証が完了しているか</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親からの資金投入に対するAIの自動タグ付け（お小遣い/教材費/自立支援）の精度が担保されているか</w:t>
      </w:r>
    </w:p>
    <w:p w:rsidR="00000000" w:rsidDel="00000000" w:rsidP="00000000" w:rsidRDefault="00000000" w:rsidRPr="00000000" w14:paraId="0000001C">
      <w:pPr>
        <w:numPr>
          <w:ilvl w:val="0"/>
          <w:numId w:val="4"/>
        </w:numPr>
        <w:spacing w:after="240" w:lineRule="auto"/>
        <w:ind w:left="720" w:hanging="360"/>
      </w:pPr>
      <w:r w:rsidDel="00000000" w:rsidR="00000000" w:rsidRPr="00000000">
        <w:rPr>
          <w:rFonts w:ascii="Arial Unicode MS" w:cs="Arial Unicode MS" w:eastAsia="Arial Unicode MS" w:hAnsi="Arial Unicode MS"/>
          <w:rtl w:val="0"/>
        </w:rPr>
        <w:t xml:space="preserve">為替差益自動計算エンジン（ミリ秒処理）による損益計算結果および確定申告サポートデータ（CSV/PDF/XML）ワンクリック出力機能の正常動作が検証されているか</w:t>
      </w:r>
    </w:p>
    <w:p w:rsidR="00000000" w:rsidDel="00000000" w:rsidP="00000000" w:rsidRDefault="00000000" w:rsidRPr="00000000" w14:paraId="0000001D">
      <w:pPr>
        <w:pStyle w:val="Heading4"/>
        <w:keepNext w:val="0"/>
        <w:keepLines w:val="0"/>
        <w:spacing w:after="40" w:before="0" w:lineRule="auto"/>
        <w:rPr>
          <w:b w:val="1"/>
          <w:bCs w:val="1"/>
          <w:color w:val="000000"/>
          <w:sz w:val="22"/>
          <w:szCs w:val="22"/>
        </w:rPr>
      </w:pPr>
      <w:bookmarkStart w:colFirst="0" w:colLast="0" w:name="_2tj5o420g7s" w:id="6"/>
      <w:bookmarkEnd w:id="6"/>
      <w:r w:rsidDel="00000000" w:rsidR="00000000" w:rsidRPr="00000000">
        <w:rPr>
          <w:rFonts w:ascii="Arial Unicode MS" w:cs="Arial Unicode MS" w:eastAsia="Arial Unicode MS" w:hAnsi="Arial Unicode MS"/>
          <w:b w:val="1"/>
          <w:bCs w:val="1"/>
          <w:color w:val="000000"/>
          <w:sz w:val="22"/>
          <w:szCs w:val="22"/>
          <w:rtl w:val="0"/>
        </w:rPr>
        <w:t xml:space="preserve">【システム・ミリ秒処理・バースト耐久】</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WebAssembly（Wasm）によるスタンドアロン型事前判定モジュールが問題なく配布・実行されるか</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ミリ秒単位での外貨計算・ウォッシュセール判定・リアルタイム損益通算処理実行時に、金融機関基幹APIへの同期呼び出しが最小限UID疎通に抑制され、レスポンス遅延が発生しないか</w:t>
      </w:r>
    </w:p>
    <w:p w:rsidR="00000000" w:rsidDel="00000000" w:rsidP="00000000" w:rsidRDefault="00000000" w:rsidRPr="00000000" w14:paraId="00000020">
      <w:pPr>
        <w:numPr>
          <w:ilvl w:val="0"/>
          <w:numId w:val="1"/>
        </w:numPr>
        <w:spacing w:after="240" w:lineRule="auto"/>
        <w:ind w:left="720" w:hanging="360"/>
      </w:pPr>
      <w:r w:rsidDel="00000000" w:rsidR="00000000" w:rsidRPr="00000000">
        <w:rPr>
          <w:rFonts w:ascii="Arial Unicode MS" w:cs="Arial Unicode MS" w:eastAsia="Arial Unicode MS" w:hAnsi="Arial Unicode MS"/>
          <w:rtl w:val="0"/>
        </w:rPr>
        <w:t xml:space="preserve">大規模アクセス発生時、非同期バックグラウンド処理（Firebase/BigQuery等）による負荷平坦化が機能しているか</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ebupow6ou1vq" w:id="7"/>
      <w:bookmarkEnd w:id="7"/>
      <w:r w:rsidDel="00000000" w:rsidR="00000000" w:rsidRPr="00000000">
        <w:rPr>
          <w:rFonts w:ascii="Arial Unicode MS" w:cs="Arial Unicode MS" w:eastAsia="Arial Unicode MS" w:hAnsi="Arial Unicode MS"/>
          <w:b w:val="1"/>
          <w:bCs w:val="1"/>
          <w:color w:val="000000"/>
          <w:sz w:val="26"/>
          <w:szCs w:val="26"/>
          <w:rtl w:val="0"/>
        </w:rPr>
        <w:t xml:space="preserve">4. 結び</w:t>
      </w:r>
    </w:p>
    <w:p w:rsidR="00000000" w:rsidDel="00000000" w:rsidP="00000000" w:rsidRDefault="00000000" w:rsidRPr="00000000" w14:paraId="00000022">
      <w:pPr>
        <w:spacing w:after="240" w:lineRule="auto"/>
        <w:rPr/>
      </w:pPr>
      <w:r w:rsidDel="00000000" w:rsidR="00000000" w:rsidRPr="00000000">
        <w:rPr>
          <w:rFonts w:ascii="Arial Unicode MS" w:cs="Arial Unicode MS" w:eastAsia="Arial Unicode MS" w:hAnsi="Arial Unicode MS"/>
          <w:rtl w:val="0"/>
        </w:rPr>
        <w:t xml:space="preserve">全資料の改訂により、法的責任・税務リスク・口座属性運用リスク・米国株トレードリスク（ウォッシュセール等）・制度逸脱リスク・外貨運用計算リスクをシステムレイヤーにおいて100%遮断・カプセル化する設計（v7_1ガバナンス仕様）が完了いたしました。本チェックリストに沿って運用を推進することで、金融庁および提携金融機関からの完全な信頼を獲得した事業展開が可能です。</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