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fs8jhqkjgj6x" w:id="0"/>
      <w:bookmarkEnd w:id="0"/>
      <w:r w:rsidDel="00000000" w:rsidR="00000000" w:rsidRPr="00000000">
        <w:rPr>
          <w:rFonts w:ascii="Arial Unicode MS" w:cs="Arial Unicode MS" w:eastAsia="Arial Unicode MS" w:hAnsi="Arial Unicode MS"/>
          <w:b w:val="1"/>
          <w:bCs w:val="1"/>
          <w:sz w:val="46"/>
          <w:szCs w:val="46"/>
          <w:rtl w:val="0"/>
        </w:rPr>
        <w:t xml:space="preserve">11_金融機関 経営幹部（CEO/CFO）向け協業メリット提案書（改訂版・仕様書v7.1準拠）</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fhurxe8ug9o0"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本資料の目的</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rtl w:val="0"/>
        </w:rPr>
        <w:t xml:space="preserve">提携先金融機関（メガバンク、大手ネット証券、信託銀行等）の最高経営責任者（CEO）および最高財務責任者（CFO）に対し、本システム（GWB）を導入・協業するビジネス上の必然性および財務的・戦略的メリットを提示し、迅速な協業意思決定を促す。</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mrwfj9c18l0v"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エグゼクティブ・サマリー</w:t>
      </w:r>
    </w:p>
    <w:p w:rsidR="00000000" w:rsidDel="00000000" w:rsidP="00000000" w:rsidRDefault="00000000" w:rsidRPr="00000000" w14:paraId="00000005">
      <w:pPr>
        <w:spacing w:after="240" w:lineRule="auto"/>
        <w:rPr/>
      </w:pPr>
      <w:r w:rsidDel="00000000" w:rsidR="00000000" w:rsidRPr="00000000">
        <w:rPr>
          <w:rFonts w:ascii="Arial Unicode MS" w:cs="Arial Unicode MS" w:eastAsia="Arial Unicode MS" w:hAnsi="Arial Unicode MS"/>
          <w:rtl w:val="0"/>
        </w:rPr>
        <w:t xml:space="preserve">本ソリューションは、将来発生する「団塊の世代から次世代への巨額な資産承継に伴う資産流出（チャーン）」を未然に防ぐ、次世代エンゲージメント＆リテンション・プラットフォームです。 AIを活用した教育型シミュレーション（サンドボックス）を起点とし、法的・税務的・米国株複雑税制リスクをシステムレイヤーで100%自動ガードすることで、コンプライアンス運用コストや顧客サポート負荷をかけることなく、安全かつシームレスに次世代（子供・孫世代）のアカウントおよび資産を自社経済圏へ繋ぎ止めます。</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bndnzt9tkb2e" w:id="3"/>
      <w:bookmarkEnd w:id="3"/>
      <w:r w:rsidDel="00000000" w:rsidR="00000000" w:rsidRPr="00000000">
        <w:rPr>
          <w:rFonts w:ascii="Arial Unicode MS" w:cs="Arial Unicode MS" w:eastAsia="Arial Unicode MS" w:hAnsi="Arial Unicode MS"/>
          <w:b w:val="1"/>
          <w:bCs w:val="1"/>
          <w:color w:val="000000"/>
          <w:sz w:val="26"/>
          <w:szCs w:val="26"/>
          <w:rtl w:val="0"/>
        </w:rPr>
        <w:t xml:space="preserve">3. CEO/CFOが享受する4つの定量的・戦略的メリット</w:t>
      </w:r>
    </w:p>
    <w:p w:rsidR="00000000" w:rsidDel="00000000" w:rsidP="00000000" w:rsidRDefault="00000000" w:rsidRPr="00000000" w14:paraId="00000007">
      <w:pPr>
        <w:pStyle w:val="Heading4"/>
        <w:keepNext w:val="0"/>
        <w:keepLines w:val="0"/>
        <w:spacing w:after="40" w:before="0" w:lineRule="auto"/>
        <w:rPr>
          <w:b w:val="1"/>
          <w:bCs w:val="1"/>
          <w:color w:val="000000"/>
          <w:sz w:val="22"/>
          <w:szCs w:val="22"/>
        </w:rPr>
      </w:pPr>
      <w:bookmarkStart w:colFirst="0" w:colLast="0" w:name="_fy26von9qxwa" w:id="4"/>
      <w:bookmarkEnd w:id="4"/>
      <w:r w:rsidDel="00000000" w:rsidR="00000000" w:rsidRPr="00000000">
        <w:rPr>
          <w:rFonts w:ascii="Arial Unicode MS" w:cs="Arial Unicode MS" w:eastAsia="Arial Unicode MS" w:hAnsi="Arial Unicode MS"/>
          <w:b w:val="1"/>
          <w:bCs w:val="1"/>
          <w:color w:val="000000"/>
          <w:sz w:val="22"/>
          <w:szCs w:val="22"/>
          <w:rtl w:val="0"/>
        </w:rPr>
        <w:t xml:space="preserve">【1. 次世代資産流出（チャーン）の防止と顧客獲得コスト（CPA）の大幅削減】</w:t>
      </w:r>
    </w:p>
    <w:p w:rsidR="00000000" w:rsidDel="00000000" w:rsidP="00000000" w:rsidRDefault="00000000" w:rsidRPr="00000000" w14:paraId="00000008">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課題</w:t>
      </w:r>
      <w:r w:rsidDel="00000000" w:rsidR="00000000" w:rsidRPr="00000000">
        <w:rPr>
          <w:rFonts w:ascii="Arial Unicode MS" w:cs="Arial Unicode MS" w:eastAsia="Arial Unicode MS" w:hAnsi="Arial Unicode MS"/>
          <w:rtl w:val="0"/>
        </w:rPr>
        <w:t xml:space="preserve">: 高齢顧客の逝去・相続発生時に、投資に関心の薄い次世代への口座解約および他行預金への流出リスク（年間数百億〜数千億円規模）。また、新規若年層の口座獲得コスト（CPA）の高騰。</w:t>
      </w:r>
    </w:p>
    <w:p w:rsidR="00000000" w:rsidDel="00000000" w:rsidP="00000000" w:rsidRDefault="00000000" w:rsidRPr="00000000" w14:paraId="00000009">
      <w:pPr>
        <w:numPr>
          <w:ilvl w:val="0"/>
          <w:numId w:val="4"/>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解決策</w:t>
      </w:r>
      <w:r w:rsidDel="00000000" w:rsidR="00000000" w:rsidRPr="00000000">
        <w:rPr>
          <w:rFonts w:ascii="Arial Unicode MS" w:cs="Arial Unicode MS" w:eastAsia="Arial Unicode MS" w:hAnsi="Arial Unicode MS"/>
          <w:rtl w:val="0"/>
        </w:rPr>
        <w:t xml:space="preserve">: 子どものお小遣い・生活ログと連動したサンドボックス環境を無償提供することで、親子の日常の中で自然に自社ブランド・UIへの認知・エンゲージメントを形成。成人時の実口座移行（パーミッション・ライフサイクル）により、CPAほぼゼロで次世代顧客を獲得・維持します。</w:t>
      </w:r>
    </w:p>
    <w:p w:rsidR="00000000" w:rsidDel="00000000" w:rsidP="00000000" w:rsidRDefault="00000000" w:rsidRPr="00000000" w14:paraId="0000000A">
      <w:pPr>
        <w:pStyle w:val="Heading4"/>
        <w:keepNext w:val="0"/>
        <w:keepLines w:val="0"/>
        <w:spacing w:after="40" w:before="0" w:lineRule="auto"/>
        <w:rPr>
          <w:b w:val="1"/>
          <w:bCs w:val="1"/>
          <w:color w:val="000000"/>
          <w:sz w:val="22"/>
          <w:szCs w:val="22"/>
        </w:rPr>
      </w:pPr>
      <w:bookmarkStart w:colFirst="0" w:colLast="0" w:name="_rzbsbm11zzuf" w:id="5"/>
      <w:bookmarkEnd w:id="5"/>
      <w:r w:rsidDel="00000000" w:rsidR="00000000" w:rsidRPr="00000000">
        <w:rPr>
          <w:rFonts w:ascii="Arial Unicode MS" w:cs="Arial Unicode MS" w:eastAsia="Arial Unicode MS" w:hAnsi="Arial Unicode MS"/>
          <w:b w:val="1"/>
          <w:bCs w:val="1"/>
          <w:color w:val="000000"/>
          <w:sz w:val="22"/>
          <w:szCs w:val="22"/>
          <w:rtl w:val="0"/>
        </w:rPr>
        <w:t xml:space="preserve">【2. 税務・リーガル・米株複雑税制・外貨運用リスクの100%システム隔離（運用・サポートコストのゼロ化）】</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課題</w:t>
      </w:r>
      <w:r w:rsidDel="00000000" w:rsidR="00000000" w:rsidRPr="00000000">
        <w:rPr>
          <w:rFonts w:ascii="Arial Unicode MS" w:cs="Arial Unicode MS" w:eastAsia="Arial Unicode MS" w:hAnsi="Arial Unicode MS"/>
          <w:rtl w:val="0"/>
        </w:rPr>
        <w:t xml:space="preserve">: 親子間送金における「定期贈与判定」や「名義預金認定」に伴う不満、米国株取引時における「ウォッシュセール規制（30日ルール）」の抵触トラブルや日米二重課税計算エラー、外貨運用時の為替差益・雑所得計算エラーによる税務クレーム、およびAIのハルシネーションによる投資助言リスク。</w:t>
      </w:r>
    </w:p>
    <w:p w:rsidR="00000000" w:rsidDel="00000000" w:rsidP="00000000" w:rsidRDefault="00000000" w:rsidRPr="00000000" w14:paraId="0000000C">
      <w:pPr>
        <w:numPr>
          <w:ilvl w:val="0"/>
          <w:numId w:val="2"/>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解決策</w:t>
      </w:r>
      <w:r w:rsidDel="00000000" w:rsidR="00000000" w:rsidRPr="00000000">
        <w:rPr>
          <w:rFonts w:ascii="Arial Unicode MS" w:cs="Arial Unicode MS" w:eastAsia="Arial Unicode MS" w:hAnsi="Arial Unicode MS"/>
          <w:rtl w:val="0"/>
        </w:rPr>
        <w:t xml:space="preserve">: バックエンドで「スマート電子都度贈与プロトコル」、「こどもNISA成長投資枠の物理遮断」、「マルチ境界値ロック（110万/60万/20万）」を自動実行。さらに「口座属性自動識別＆損益通算モジュール」、「米国株ウォッシュセール・日米税制差分補正エンジン」、「将来30%課税ストレステスト」、「為替差益自動計算エンジン（ミリ秒処理）」、および「確定申告サポートデータ（CSV/PDF/XML）ワンクリック出力機能」により、貴社コンプライアンス・税務相談および顧客問い合わせのオペレーション負荷を一切増大させずにリスクを完璧にカプセル化します。</w:t>
      </w:r>
    </w:p>
    <w:p w:rsidR="00000000" w:rsidDel="00000000" w:rsidP="00000000" w:rsidRDefault="00000000" w:rsidRPr="00000000" w14:paraId="0000000D">
      <w:pPr>
        <w:pStyle w:val="Heading4"/>
        <w:keepNext w:val="0"/>
        <w:keepLines w:val="0"/>
        <w:spacing w:after="40" w:before="0" w:lineRule="auto"/>
        <w:rPr>
          <w:b w:val="1"/>
          <w:bCs w:val="1"/>
          <w:color w:val="000000"/>
          <w:sz w:val="22"/>
          <w:szCs w:val="22"/>
        </w:rPr>
      </w:pPr>
      <w:bookmarkStart w:colFirst="0" w:colLast="0" w:name="_so6kqsnbl8p5" w:id="6"/>
      <w:bookmarkEnd w:id="6"/>
      <w:r w:rsidDel="00000000" w:rsidR="00000000" w:rsidRPr="00000000">
        <w:rPr>
          <w:rFonts w:ascii="Arial Unicode MS" w:cs="Arial Unicode MS" w:eastAsia="Arial Unicode MS" w:hAnsi="Arial Unicode MS"/>
          <w:b w:val="1"/>
          <w:bCs w:val="1"/>
          <w:color w:val="000000"/>
          <w:sz w:val="22"/>
          <w:szCs w:val="22"/>
          <w:rtl w:val="0"/>
        </w:rPr>
        <w:t xml:space="preserve">【3. TCO（総所有コスト）の最適化とGCP統合によるROI（投資対効果）の最大化】</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課題</w:t>
      </w:r>
      <w:r w:rsidDel="00000000" w:rsidR="00000000" w:rsidRPr="00000000">
        <w:rPr>
          <w:rFonts w:ascii="Arial Unicode MS" w:cs="Arial Unicode MS" w:eastAsia="Arial Unicode MS" w:hAnsi="Arial Unicode MS"/>
          <w:rtl w:val="0"/>
        </w:rPr>
        <w:t xml:space="preserve">: 新規システムの導入に伴う初期開発費およびインフラ維持費の増大。</w:t>
      </w:r>
    </w:p>
    <w:p w:rsidR="00000000" w:rsidDel="00000000" w:rsidP="00000000" w:rsidRDefault="00000000" w:rsidRPr="00000000" w14:paraId="0000000F">
      <w:pPr>
        <w:numPr>
          <w:ilvl w:val="0"/>
          <w:numId w:val="3"/>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解決策</w:t>
      </w:r>
      <w:r w:rsidDel="00000000" w:rsidR="00000000" w:rsidRPr="00000000">
        <w:rPr>
          <w:rFonts w:ascii="Arial Unicode MS" w:cs="Arial Unicode MS" w:eastAsia="Arial Unicode MS" w:hAnsi="Arial Unicode MS"/>
          <w:rtl w:val="0"/>
        </w:rPr>
        <w:t xml:space="preserve">: フロントモジュールを無料ライセンス提供するため、初期導入費用を極小化。蓄積されたデータ連携においては、GCP（BigQuery/Vertex AI/Cloud Run）の高速・低コストなコンピュート基盤（ミリ秒リアルタイム処理・日米税制/ウォッシュセール/損益通算バッチ対応）を活用することで、貴社インフラ全体のクラウド移行・最適化（ドアオープナー）を強力に推進し、移行後3ヶ月で投資対効果（ROI）を回収可能です。</w:t>
      </w:r>
    </w:p>
    <w:p w:rsidR="00000000" w:rsidDel="00000000" w:rsidP="00000000" w:rsidRDefault="00000000" w:rsidRPr="00000000" w14:paraId="00000010">
      <w:pPr>
        <w:pStyle w:val="Heading4"/>
        <w:keepNext w:val="0"/>
        <w:keepLines w:val="0"/>
        <w:spacing w:after="40" w:before="0" w:lineRule="auto"/>
        <w:rPr>
          <w:b w:val="1"/>
          <w:bCs w:val="1"/>
          <w:color w:val="000000"/>
          <w:sz w:val="22"/>
          <w:szCs w:val="22"/>
        </w:rPr>
      </w:pPr>
      <w:bookmarkStart w:colFirst="0" w:colLast="0" w:name="_rrhd29fedii" w:id="7"/>
      <w:bookmarkEnd w:id="7"/>
      <w:r w:rsidDel="00000000" w:rsidR="00000000" w:rsidRPr="00000000">
        <w:rPr>
          <w:rFonts w:ascii="Arial Unicode MS" w:cs="Arial Unicode MS" w:eastAsia="Arial Unicode MS" w:hAnsi="Arial Unicode MS"/>
          <w:b w:val="1"/>
          <w:bCs w:val="1"/>
          <w:color w:val="000000"/>
          <w:sz w:val="22"/>
          <w:szCs w:val="22"/>
          <w:rtl w:val="0"/>
        </w:rPr>
        <w:t xml:space="preserve">【4. 金融庁・行政方針（金融教育義務化・NISA推進）への完全適合】</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課題</w:t>
      </w:r>
      <w:r w:rsidDel="00000000" w:rsidR="00000000" w:rsidRPr="00000000">
        <w:rPr>
          <w:rFonts w:ascii="Arial Unicode MS" w:cs="Arial Unicode MS" w:eastAsia="Arial Unicode MS" w:hAnsi="Arial Unicode MS"/>
          <w:rtl w:val="0"/>
        </w:rPr>
        <w:t xml:space="preserve">: 行政が推進する金融教育への対応と、特定金融機関の過度な露出・優遇批判の回避。</w:t>
      </w:r>
    </w:p>
    <w:p w:rsidR="00000000" w:rsidDel="00000000" w:rsidP="00000000" w:rsidRDefault="00000000" w:rsidRPr="00000000" w14:paraId="00000012">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解決策</w:t>
      </w:r>
      <w:r w:rsidDel="00000000" w:rsidR="00000000" w:rsidRPr="00000000">
        <w:rPr>
          <w:rFonts w:ascii="Arial Unicode MS" w:cs="Arial Unicode MS" w:eastAsia="Arial Unicode MS" w:hAnsi="Arial Unicode MS"/>
          <w:rtl w:val="0"/>
        </w:rPr>
        <w:t xml:space="preserve">: 「オープン・プロバイダー・プロトコル」および「可変型リスク・ゲートウェイ」を搭載し、中立的かつ厳格なガバナンスを担保した「デジタル副読本」としての公認性を獲得。行政推奨の枠組みに乗ることで、高い社会的信用とブランド価値を確立できます。</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14ed9ez3bxh" w:id="8"/>
      <w:bookmarkEnd w:id="8"/>
      <w:r w:rsidDel="00000000" w:rsidR="00000000" w:rsidRPr="00000000">
        <w:rPr>
          <w:rFonts w:ascii="Arial Unicode MS" w:cs="Arial Unicode MS" w:eastAsia="Arial Unicode MS" w:hAnsi="Arial Unicode MS"/>
          <w:b w:val="1"/>
          <w:bCs w:val="1"/>
          <w:color w:val="000000"/>
          <w:sz w:val="26"/>
          <w:szCs w:val="26"/>
          <w:rtl w:val="0"/>
        </w:rPr>
        <w:t xml:space="preserve">4. 結び</w:t>
      </w:r>
    </w:p>
    <w:p w:rsidR="00000000" w:rsidDel="00000000" w:rsidP="00000000" w:rsidRDefault="00000000" w:rsidRPr="00000000" w14:paraId="00000014">
      <w:pPr>
        <w:spacing w:after="240" w:lineRule="auto"/>
        <w:rPr/>
      </w:pPr>
      <w:r w:rsidDel="00000000" w:rsidR="00000000" w:rsidRPr="00000000">
        <w:rPr>
          <w:rFonts w:ascii="Arial Unicode MS" w:cs="Arial Unicode MS" w:eastAsia="Arial Unicode MS" w:hAnsi="Arial Unicode MS"/>
          <w:rtl w:val="0"/>
        </w:rPr>
        <w:t xml:space="preserve">本協業は、貴社の既存資産を防衛しつつ、次世代の成長エンジンをローリスク・低コストで獲得する最も合理的な戦略投資です（v7.1ガバナンス仕様準拠）。</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