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ru131dhhk6pa" w:id="0"/>
      <w:bookmarkEnd w:id="0"/>
      <w:r w:rsidDel="00000000" w:rsidR="00000000" w:rsidRPr="00000000">
        <w:rPr>
          <w:b w:val="1"/>
          <w:bCs w:val="1"/>
          <w:sz w:val="46"/>
          <w:szCs w:val="46"/>
          <w:rtl w:val="0"/>
        </w:rPr>
        <w:t xml:space="preserve">14_🏁 マイルストーン＆ネクストステップ（ToDoリスト）（改訂版・仕様書v7.1準拠）</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本プロジェクト『GWB』の承認後、速やかに「データの重力」によるインフラ奪取戦略を執行するためのタイムラインとアクションプランです。</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jqecqkylj0aw" w:id="1"/>
      <w:bookmarkEnd w:id="1"/>
      <w:r w:rsidDel="00000000" w:rsidR="00000000" w:rsidRPr="00000000">
        <w:rPr>
          <w:b w:val="1"/>
          <w:bCs w:val="1"/>
          <w:color w:val="000000"/>
          <w:sz w:val="26"/>
          <w:szCs w:val="26"/>
          <w:rtl w:val="0"/>
        </w:rPr>
        <w:t xml:space="preserve">🗺️ 今後の重要マイルストーン（ロードマップ）</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【M1：承認直後 〜 1ヶ月目】リーガル＆ロビー体制の確立</w:t>
        <w:br w:type="textWrapping"/>
      </w:r>
    </w:p>
    <w:p w:rsidR="00000000" w:rsidDel="00000000" w:rsidP="00000000" w:rsidRDefault="00000000" w:rsidRPr="00000000" w14:paraId="00000005">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日米の法務部門との最終合意、および日本国内での「金融庁ルート（ロビイスト）」の確保。</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【M2：2ヶ月目 〜 3ヶ月目】フロントモック完成＆金融庁打診</w:t>
        <w:br w:type="textWrapping"/>
      </w:r>
    </w:p>
    <w:p w:rsidR="00000000" w:rsidDel="00000000" w:rsidP="00000000" w:rsidRDefault="00000000" w:rsidRPr="00000000" w14:paraId="00000007">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日本版「デジタル副読本（サンドボックス）」のUIモックおよび口座属性別損益通算・ウォッシュセール判定・為替差益自動計算エンジン（ミリ秒処理）を完成させ、金融庁へ実証実験（PoC）の正式打診。</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【M3：4ヶ月目 〜 6ヶ月目】Phase 1（米国）PoC開始 ＆ 国内ターゲット選定</w:t>
        <w:br w:type="textWrapping"/>
      </w:r>
    </w:p>
    <w:p w:rsidR="00000000" w:rsidDel="00000000" w:rsidP="00000000" w:rsidRDefault="00000000" w:rsidRPr="00000000" w14:paraId="00000009">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米国メガバンクでの先行検証を開始。並行して、国内リプレース本命の「ネット証券・メガバンク3社」へのステルスアプローチを開始。</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【M4：7ヶ月目 〜 12ヶ月目】日本国内での実証実験（PoC）執行</w:t>
        <w:br w:type="textWrapping"/>
      </w:r>
    </w:p>
    <w:p w:rsidR="00000000" w:rsidDel="00000000" w:rsidP="00000000" w:rsidRDefault="00000000" w:rsidRPr="00000000" w14:paraId="0000000B">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協力自治体・高校を巻き込んだ実証実験を開始。</w:t>
      </w:r>
      <w:r w:rsidDel="00000000" w:rsidR="00000000" w:rsidRPr="00000000">
        <w:rPr>
          <w:rFonts w:ascii="Arial Unicode MS" w:cs="Arial Unicode MS" w:eastAsia="Arial Unicode MS" w:hAnsi="Arial Unicode MS"/>
          <w:rtl w:val="0"/>
        </w:rPr>
        <w:t xml:space="preserve">「マルチ税務境界値（110万/60万/20万）物理ロック」、口座属性識別＆損益通算機能、米国株ウォッシュセール事前判定ロジック、および最高裁判決等に準拠した電子都度贈与プロトコルの</w:t>
      </w:r>
      <w:r w:rsidDel="00000000" w:rsidR="00000000" w:rsidRPr="00000000">
        <w:rPr>
          <w:rFonts w:ascii="Arial Unicode MS" w:cs="Arial Unicode MS" w:eastAsia="Arial Unicode MS" w:hAnsi="Arial Unicode MS"/>
          <w:rtl w:val="0"/>
        </w:rPr>
        <w:t xml:space="preserve">安全性を証明し、金融庁のお墨付き（公認）を確定。</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8c2q4jn35ewl" w:id="2"/>
      <w:bookmarkEnd w:id="2"/>
      <w:r w:rsidDel="00000000" w:rsidR="00000000" w:rsidRPr="00000000">
        <w:rPr>
          <w:b w:val="1"/>
          <w:bCs w:val="1"/>
          <w:color w:val="000000"/>
          <w:sz w:val="26"/>
          <w:szCs w:val="26"/>
          <w:rtl w:val="0"/>
        </w:rPr>
        <w:t xml:space="preserve">🏃‍♂️ 明日から動くためのネクストステップ（ToDoリスト）</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rtl w:val="0"/>
        </w:rPr>
        <w:t xml:space="preserve">プロジェクト承認後、「24時間以内」にBizDevチームが着手すべき極めて具体的なタスクです。</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d92ar2uv7og7" w:id="3"/>
      <w:bookmarkEnd w:id="3"/>
      <w:r w:rsidDel="00000000" w:rsidR="00000000" w:rsidRPr="00000000">
        <w:rPr>
          <w:b w:val="1"/>
          <w:bCs w:val="1"/>
          <w:color w:val="000000"/>
          <w:sz w:val="22"/>
          <w:szCs w:val="22"/>
          <w:rtl w:val="0"/>
        </w:rPr>
        <w:t xml:space="preserve">⚖️ 【法務・コンプライアンス】</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営業担当者向けの「コンプライアンス・税務（マルチ境界値・口座属性・米株規則）遵守誓約書」および「NGワード集」を社内ポータルに格納し、営業チームへのブリーフィング（研修）枠を来週月曜に設定する。</w:t>
      </w:r>
    </w:p>
    <w:p w:rsidR="00000000" w:rsidDel="00000000" w:rsidP="00000000" w:rsidRDefault="00000000" w:rsidRPr="00000000" w14:paraId="00000010">
      <w:pPr>
        <w:numPr>
          <w:ilvl w:val="0"/>
          <w:numId w:val="1"/>
        </w:numPr>
        <w:spacing w:after="240" w:lineRule="auto"/>
        <w:ind w:left="720" w:hanging="360"/>
      </w:pPr>
      <w:r w:rsidDel="00000000" w:rsidR="00000000" w:rsidRPr="00000000">
        <w:rPr>
          <w:rFonts w:ascii="Arial Unicode MS" w:cs="Arial Unicode MS" w:eastAsia="Arial Unicode MS" w:hAnsi="Arial Unicode MS"/>
          <w:rtl w:val="0"/>
        </w:rPr>
        <w:t xml:space="preserve">米国本社法務へ提出した「US Legal Executive Summary」のフィードバックを確認し、最高裁判決対応、口座属性・外貨運用・雑所得対応、および米国株ウォッシュセール（30日ルール）規制を含むグローバル共通免責テンプレートのドラフト作成を依頼する。</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e293c7bcyv0e" w:id="4"/>
      <w:bookmarkEnd w:id="4"/>
      <w:r w:rsidDel="00000000" w:rsidR="00000000" w:rsidRPr="00000000">
        <w:rPr>
          <w:b w:val="1"/>
          <w:bCs w:val="1"/>
          <w:color w:val="000000"/>
          <w:sz w:val="22"/>
          <w:szCs w:val="22"/>
          <w:rtl w:val="0"/>
        </w:rPr>
        <w:t xml:space="preserve">🏛️ 【行政ロビー（金融庁対応）】</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金融庁「フィンテック実証実験ハブ」の担当参事官との面談を取り付けるため、外部の金融系シニアアドバイザー（元金融庁OB等）へコンタクトを開始する。</w:t>
      </w:r>
    </w:p>
    <w:p w:rsidR="00000000" w:rsidDel="00000000" w:rsidP="00000000" w:rsidRDefault="00000000" w:rsidRPr="00000000" w14:paraId="00000013">
      <w:pPr>
        <w:numPr>
          <w:ilvl w:val="0"/>
          <w:numId w:val="4"/>
        </w:numPr>
        <w:spacing w:after="240" w:lineRule="auto"/>
        <w:ind w:left="720" w:hanging="360"/>
      </w:pPr>
      <w:r w:rsidDel="00000000" w:rsidR="00000000" w:rsidRPr="00000000">
        <w:rPr>
          <w:rFonts w:ascii="Arial Unicode MS" w:cs="Arial Unicode MS" w:eastAsia="Arial Unicode MS" w:hAnsi="Arial Unicode MS"/>
          <w:rtl w:val="0"/>
        </w:rPr>
        <w:t xml:space="preserve">本日作成した「A4概要書（レジュメ）」をベースに、金融庁説明用の1枚紙（マルチ境界値・口座属性損益通算・米株税制補正・為替差益自動計算エンジン図説付きティザー資料）のビジュアルデザインをインハウスデザイナーに発注する。</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f28n4cu6grsg" w:id="5"/>
      <w:bookmarkEnd w:id="5"/>
      <w:r w:rsidDel="00000000" w:rsidR="00000000" w:rsidRPr="00000000">
        <w:rPr>
          <w:b w:val="1"/>
          <w:bCs w:val="1"/>
          <w:color w:val="000000"/>
          <w:sz w:val="22"/>
          <w:szCs w:val="22"/>
          <w:rtl w:val="0"/>
        </w:rPr>
        <w:t xml:space="preserve">💻 【技術・開発（アーキテクチャ）】</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既存のGCPコンポーネント（Vertex AI / BigQuery）から、本プロジェクトへ流用可能なAPIモジュールおよび「口座属性自動識別・損益通算エンジン」「米国株ウォッシュセール（30日ルール）判定エンジン」「為替差益自動計算エンジン（ミリ秒処理）」「確定申告サポートデータ（CSV/PDF/XML）出力モジュール」のリストアップをエンジニアリングリードに要求する。</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rFonts w:ascii="Arial Unicode MS" w:cs="Arial Unicode MS" w:eastAsia="Arial Unicode MS" w:hAnsi="Arial Unicode MS"/>
          <w:rtl w:val="0"/>
        </w:rPr>
        <w:t xml:space="preserve">日本版のフロントエンド（お小遣い帳・資産継承シミュレーション・リアルタイム口座属性＆税務シミュレーター）の初期UIワイヤーフレームの作成をUI/UXチームにアサインする（納期：2週間後）。</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