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q5yzot5hp6t8" w:id="0"/>
      <w:bookmarkEnd w:id="0"/>
      <w:r w:rsidDel="00000000" w:rsidR="00000000" w:rsidRPr="00000000">
        <w:rPr>
          <w:b w:val="1"/>
          <w:bCs w:val="1"/>
          <w:sz w:val="46"/>
          <w:szCs w:val="46"/>
          <w:rtl w:val="0"/>
        </w:rPr>
        <w:t xml:space="preserve">15_⚠️ 営業・BizDev担当者向け「NGワード集」＆言い換えマニュアル（改訂版・仕様書v7.1準拠）</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【重要・社内秘】 金融機関や行政との交渉において、以下の「NGワード」を1文字でも書面・口頭で発信した場合、独占禁止法違反による巨額の罰徴金、税務・金融商品取引法違反、または金融庁からの実証実験取り消し処分を受けるリスクがあります。必ず右側の「推奨表現」へ言い換えてください。</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ykwwed7q48t2"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クラウドインフラのリプレース（奪取）に関するNG</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経営陣への本音（インフラ奪取）が顧客に漏れると、「抱き合わせ販売」の違法行為とみなされます。</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w:t>
        <w:br w:type="textWrapping"/>
        <w:t xml:space="preserve">「このAIツールは無料ですが、その代わり現在のAWS（またはAzure）を解約して、当社のGCPに乗り換えてもらうことが条件です」</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w:t>
        <w:br w:type="textWrapping"/>
        <w:t xml:space="preserve">「GCPへの移行に関する覚書（MOU）を結んでいただけないと、このツールは提供できません」</w:t>
      </w:r>
    </w:p>
    <w:p w:rsidR="00000000" w:rsidDel="00000000" w:rsidP="00000000" w:rsidRDefault="00000000" w:rsidRPr="00000000" w14:paraId="00000007">
      <w:pPr>
        <w:numPr>
          <w:ilvl w:val="0"/>
          <w:numId w:val="4"/>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w:t>
        <w:br w:type="textWrapping"/>
        <w:t xml:space="preserve">「本AIツールの性能（口座属性別損益・米国株複雑税制・為替差益のミリ秒単位リアルタイム計算やデータ遅延の最小化）を100%発揮するための、技術的な推奨インフラがGCPとなっております。インフラの統合によるコスト最適化（Egress料金の削減）のご提案も、別途シミュレーション可能です」</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gcfexzqnu51"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アルゴリズムの優遇（ステルスレバレッジ）に関するNG</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「裏でGCP採用企業を優遇している」ことが露見すると、独禁法および金融庁への中立性虚偽報告になります。</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w:t>
        <w:br w:type="textWrapping"/>
        <w:t xml:space="preserve">「裏のアルゴリズムを調整して、御社の表示順位を上げておきますよ」</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w:t>
        <w:br w:type="textWrapping"/>
        <w:t xml:space="preserve">「GCPを使ってくれている企業が、アプリ内で優先的に表示される仕組みになっています」</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w:t>
        <w:br w:type="textWrapping"/>
        <w:t xml:space="preserve">「本システムは金融庁の認可リストに基づき、完全なる『中立・公平なシャッフルロジック』で動的に複数提示を行います。ただし、AIの応答速度やデータ連携の親和性（技術的レイテンシー）の観点から、GCP基盤同士の通信が最もスムーズなUX（ユーザー体験）を提供する構造となっております」</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gv83633r6yg2"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金融庁・規制当局へのアプローチに関するNG</w:t>
      </w:r>
    </w:p>
    <w:p w:rsidR="00000000" w:rsidDel="00000000" w:rsidP="00000000" w:rsidRDefault="00000000" w:rsidRPr="00000000" w14:paraId="0000000E">
      <w:pPr>
        <w:spacing w:after="240" w:lineRule="auto"/>
        <w:rPr/>
      </w:pPr>
      <w:r w:rsidDel="00000000" w:rsidR="00000000" w:rsidRPr="00000000">
        <w:rPr>
          <w:rFonts w:ascii="Arial Unicode MS" w:cs="Arial Unicode MS" w:eastAsia="Arial Unicode MS" w:hAnsi="Arial Unicode MS"/>
          <w:rtl w:val="0"/>
        </w:rPr>
        <w:t xml:space="preserve">「お上を騙す、すり抜ける」といったニュアンスは、当局の態度を極めて硬化させます。</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w:t>
        <w:br w:type="textWrapping"/>
        <w:t xml:space="preserve">「金融庁の規制がうるさいので、中立の建前でカモフラージュしています」</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w:t>
        <w:br w:type="textWrapping"/>
        <w:t xml:space="preserve">「AIの嘘（ハルシネーション）のリスクは、銀行側の免責事項に丸投げして逃げます」</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w:t>
        <w:br w:type="textWrapping"/>
        <w:t xml:space="preserve">「行政が求める中立性を100%厳守するため、マルチ・ブローカー対応のプロトコルを実装しております。また、AIのハルシネーション等のコンプライアンスリスクは、システム側の検閲フィルターによる物理ロックと、既存の堅牢な免責スキームとのインテグレーション（統合）により、二重の安全弁（ガードレール）を敷いてカプセル化しております」</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7yrv3kajq2o3"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税務・口座属性・贈与判定・外貨運用・米国株税制（ウォッシュセール）に関するNG【v7_1強化】</w:t>
      </w:r>
    </w:p>
    <w:p w:rsidR="00000000" w:rsidDel="00000000" w:rsidP="00000000" w:rsidRDefault="00000000" w:rsidRPr="00000000" w14:paraId="00000013">
      <w:pPr>
        <w:spacing w:after="240" w:lineRule="auto"/>
        <w:rPr/>
      </w:pPr>
      <w:r w:rsidDel="00000000" w:rsidR="00000000" w:rsidRPr="00000000">
        <w:rPr>
          <w:rFonts w:ascii="Arial Unicode MS" w:cs="Arial Unicode MS" w:eastAsia="Arial Unicode MS" w:hAnsi="Arial Unicode MS"/>
          <w:rtl w:val="0"/>
        </w:rPr>
        <w:t xml:space="preserve">断定的な節税保証や税務判断の介入は、税理士法違反や顧客トラブルに直結します。</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w:t>
        <w:br w:type="textWrapping"/>
        <w:t xml:space="preserve">「このシステムを使えば絶対に税務調査に入られませんし、税金も一切かかりません」</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NGワード</w:t>
      </w:r>
      <w:r w:rsidDel="00000000" w:rsidR="00000000" w:rsidRPr="00000000">
        <w:rPr>
          <w:rFonts w:ascii="Arial Unicode MS" w:cs="Arial Unicode MS" w:eastAsia="Arial Unicode MS" w:hAnsi="Arial Unicode MS"/>
          <w:rtl w:val="0"/>
        </w:rPr>
        <w:t xml:space="preserve">：</w:t>
        <w:br w:type="textWrapping"/>
        <w:t xml:space="preserve">「特定口座や一般口座、外貨建て運用や米国株の売買損益も、AIがうまく処理するので確定申告しなくて大丈夫です」</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w:t>
        <w:br w:type="textWrapping"/>
        <w:t xml:space="preserve">「本システムは口座属性（NISA/特定/一般）の自動識別およびトリプル税務絶対境界値（110万円/60万円/20万円）をハードコードしており、超過リスクがある取引はシステム側で自動ホールドされます。また、最高裁判決等に準拠したタイムスタンプ付き都度贈与合意書の自動生成、米国株ウォッシュセール規制（30日ルール）事前判定＆日米税制差分補正、マルチ口座リアルタイム損益通算・将来30%課税ストレステスト、および為替差益自動計算エンジン（ミリ秒処理）による確定申告サポートデータ（CSV/PDF/XML）ワンクリック出力機能により、ユーザー様および金融機関様の税務管理・確認手順を極めて厳密かつシームレスに支援いたします」</w:t>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