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wonb5adkti19" w:id="0"/>
      <w:bookmarkEnd w:id="0"/>
      <w:r w:rsidDel="00000000" w:rsidR="00000000" w:rsidRPr="00000000">
        <w:rPr>
          <w:b w:val="1"/>
          <w:bCs w:val="1"/>
          <w:sz w:val="46"/>
          <w:szCs w:val="46"/>
          <w:rtl w:val="0"/>
        </w:rPr>
        <w:t xml:space="preserve">16_🏛️ 金融庁提出用：実証実験（PoC）実施計画書（改訂版・仕様書v7.1準拠）</w:t>
      </w:r>
    </w:p>
    <w:p w:rsidR="00000000" w:rsidDel="00000000" w:rsidP="00000000" w:rsidRDefault="00000000" w:rsidRPr="00000000" w14:paraId="00000002">
      <w:pPr>
        <w:spacing w:after="240" w:lineRule="auto"/>
        <w:rPr/>
      </w:pPr>
      <w:r w:rsidDel="00000000" w:rsidR="00000000" w:rsidRPr="00000000">
        <w:rPr>
          <w:rFonts w:ascii="Arial Unicode MS" w:cs="Arial Unicode MS" w:eastAsia="Arial Unicode MS" w:hAnsi="Arial Unicode MS"/>
          <w:rtl w:val="0"/>
        </w:rPr>
        <w:t xml:space="preserve">【文書番号】 GCP-FSA-2026-001-REV7_1</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【申請日】 2026年7月26日（初刷：2026年6月30日）</w:t>
      </w:r>
    </w:p>
    <w:p w:rsidR="00000000" w:rsidDel="00000000" w:rsidP="00000000" w:rsidRDefault="00000000" w:rsidRPr="00000000" w14:paraId="00000004">
      <w:pPr>
        <w:spacing w:after="240" w:lineRule="auto"/>
        <w:rPr/>
      </w:pPr>
      <w:r w:rsidDel="00000000" w:rsidR="00000000" w:rsidRPr="00000000">
        <w:rPr>
          <w:rFonts w:ascii="Arial Unicode MS" w:cs="Arial Unicode MS" w:eastAsia="Arial Unicode MS" w:hAnsi="Arial Unicode MS"/>
          <w:rtl w:val="0"/>
        </w:rPr>
        <w:t xml:space="preserve">【申請者】 Google Cloud Japan 金融ソリューション政策推進班</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rtl w:val="0"/>
        </w:rPr>
        <w:t xml:space="preserve">【プロジェクト名称】</w:t>
      </w:r>
    </w:p>
    <w:p w:rsidR="00000000" w:rsidDel="00000000" w:rsidP="00000000" w:rsidRDefault="00000000" w:rsidRPr="00000000" w14:paraId="00000006">
      <w:pPr>
        <w:spacing w:after="240" w:lineRule="auto"/>
        <w:rPr/>
      </w:pPr>
      <w:r w:rsidDel="00000000" w:rsidR="00000000" w:rsidRPr="00000000">
        <w:rPr>
          <w:rFonts w:ascii="Arial Unicode MS" w:cs="Arial Unicode MS" w:eastAsia="Arial Unicode MS" w:hAnsi="Arial Unicode MS"/>
          <w:rtl w:val="0"/>
        </w:rPr>
        <w:t xml:space="preserve">次世代金融リテラシー向上および家庭内資産の健全な還流促進に向けた、体験型デジタルサンドボックス環境の実証実験（口座属性別課税・米国株複雑税制補正・損益通算＆トリプル税務ガバナンス強化版）</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wf3805b2mtf1"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実証実験の目的と社会的意義</w:t>
      </w:r>
    </w:p>
    <w:p w:rsidR="00000000" w:rsidDel="00000000" w:rsidP="00000000" w:rsidRDefault="00000000" w:rsidRPr="00000000" w14:paraId="00000008">
      <w:pPr>
        <w:spacing w:after="240" w:lineRule="auto"/>
        <w:rPr/>
      </w:pPr>
      <w:r w:rsidDel="00000000" w:rsidR="00000000" w:rsidRPr="00000000">
        <w:rPr>
          <w:rFonts w:ascii="Arial Unicode MS" w:cs="Arial Unicode MS" w:eastAsia="Arial Unicode MS" w:hAnsi="Arial Unicode MS"/>
          <w:rtl w:val="0"/>
        </w:rPr>
        <w:t xml:space="preserve">本実証実験は、2022年より義務化された高校における「金融経済教育」の現場が抱える課題（指導リソース・教材の不足）を解決すると同時に、高齢者層に滞留する「1,000兆円超の現預金」を、暦年贈与の仕組みを活用して次世代の生産的な長期投資（NISA等）へ安全かつ健全に還流させるための「技術的基盤」を検証することを目的とする。</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ckhoozr40j1t"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実証実験の概要と実施方法</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対象（被験者）</w:t>
      </w:r>
      <w:r w:rsidDel="00000000" w:rsidR="00000000" w:rsidRPr="00000000">
        <w:rPr>
          <w:rFonts w:ascii="Arial Unicode MS" w:cs="Arial Unicode MS" w:eastAsia="Arial Unicode MS" w:hAnsi="Arial Unicode MS"/>
          <w:rtl w:val="0"/>
        </w:rPr>
        <w:t xml:space="preserve">：</w:t>
        <w:br w:type="textWrapping"/>
        <w:t xml:space="preserve">協力自治体の指定高校（生徒およびその保護者）約1,000世帯、および検証に同意した認可金融機関。</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実施内容</w:t>
      </w:r>
      <w:r w:rsidDel="00000000" w:rsidR="00000000" w:rsidRPr="00000000">
        <w:rPr>
          <w:rFonts w:ascii="Arial Unicode MS" w:cs="Arial Unicode MS" w:eastAsia="Arial Unicode MS" w:hAnsi="Arial Unicode MS"/>
          <w:rtl w:val="0"/>
        </w:rPr>
        <w:t xml:space="preserve">：</w:t>
        <w:br w:type="textWrapping"/>
        <w:t xml:space="preserve">生徒側には「お小遣い帳」の延長として、選択のトレードオフ（流動性と機会損失・為替変動リスク）を学ぶ仮想シミュレーション環境を提供。保護者側には、そのログに応じた「暦年贈与枠を活用したジュニアNISA/新NISA・特定/一般口座属性シミュレーション、将来税率変動ストレステスト、米国株ウォッシュセール規制（30日ルール）事前チェック、および外貨運用・資産移転シミュレーション」を提供する。</w:t>
      </w:r>
    </w:p>
    <w:p w:rsidR="00000000" w:rsidDel="00000000" w:rsidP="00000000" w:rsidRDefault="00000000" w:rsidRPr="00000000" w14:paraId="0000000C">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検証期間</w:t>
      </w:r>
      <w:r w:rsidDel="00000000" w:rsidR="00000000" w:rsidRPr="00000000">
        <w:rPr>
          <w:rFonts w:ascii="Arial Unicode MS" w:cs="Arial Unicode MS" w:eastAsia="Arial Unicode MS" w:hAnsi="Arial Unicode MS"/>
          <w:rtl w:val="0"/>
        </w:rPr>
        <w:t xml:space="preserve">： 2026年10月1日 〜 2027年3月31日（6ヶ月間）</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3kmzeks296fh"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法的課題のクリア（リーガル＆タックス・ガードレールの検証）</w:t>
      </w:r>
    </w:p>
    <w:p w:rsidR="00000000" w:rsidDel="00000000" w:rsidP="00000000" w:rsidRDefault="00000000" w:rsidRPr="00000000" w14:paraId="0000000E">
      <w:pPr>
        <w:spacing w:after="240" w:lineRule="auto"/>
        <w:rPr/>
      </w:pPr>
      <w:r w:rsidDel="00000000" w:rsidR="00000000" w:rsidRPr="00000000">
        <w:rPr>
          <w:rFonts w:ascii="Arial Unicode MS" w:cs="Arial Unicode MS" w:eastAsia="Arial Unicode MS" w:hAnsi="Arial Unicode MS"/>
          <w:rtl w:val="0"/>
        </w:rPr>
        <w:t xml:space="preserve">本実証の最大の眼目は、行政および利用者が懸念する「法的リスク・税務エラー」が、システムレイヤーの物理ロックによって100%排除可能かを確認することである。</w:t>
      </w:r>
    </w:p>
    <w:p w:rsidR="00000000" w:rsidDel="00000000" w:rsidP="00000000" w:rsidRDefault="00000000" w:rsidRPr="00000000" w14:paraId="0000000F">
      <w:pPr>
        <w:pStyle w:val="Heading4"/>
        <w:keepNext w:val="0"/>
        <w:keepLines w:val="0"/>
        <w:spacing w:after="40" w:before="0" w:lineRule="auto"/>
        <w:rPr>
          <w:b w:val="1"/>
          <w:bCs w:val="1"/>
          <w:color w:val="000000"/>
          <w:sz w:val="22"/>
          <w:szCs w:val="22"/>
        </w:rPr>
      </w:pPr>
      <w:bookmarkStart w:colFirst="0" w:colLast="0" w:name="_791xtgy4831z" w:id="4"/>
      <w:bookmarkEnd w:id="4"/>
      <w:r w:rsidDel="00000000" w:rsidR="00000000" w:rsidRPr="00000000">
        <w:rPr>
          <w:rFonts w:ascii="Arial Unicode MS" w:cs="Arial Unicode MS" w:eastAsia="Arial Unicode MS" w:hAnsi="Arial Unicode MS"/>
          <w:b w:val="1"/>
          <w:bCs w:val="1"/>
          <w:color w:val="000000"/>
          <w:sz w:val="22"/>
          <w:szCs w:val="22"/>
          <w:rtl w:val="0"/>
        </w:rPr>
        <w:t xml:space="preserve">① 金融商品取引法（投資助言規制）への対応</w:t>
      </w:r>
    </w:p>
    <w:p w:rsidR="00000000" w:rsidDel="00000000" w:rsidP="00000000" w:rsidRDefault="00000000" w:rsidRPr="00000000" w14:paraId="00000010">
      <w:pPr>
        <w:spacing w:after="240" w:lineRule="auto"/>
        <w:rPr/>
      </w:pPr>
      <w:r w:rsidDel="00000000" w:rsidR="00000000" w:rsidRPr="00000000">
        <w:rPr>
          <w:rFonts w:ascii="Arial Unicode MS" w:cs="Arial Unicode MS" w:eastAsia="Arial Unicode MS" w:hAnsi="Arial Unicode MS"/>
          <w:rtl w:val="0"/>
        </w:rPr>
        <w:t xml:space="preserve">AIのアウトプット層に「出力検閲フィルター」を実装。特定個別銘柄（株・投資信託等）の推奨、および断定的利益の約束に該当する文言を物理的に遮断する機能を検証し、助言行為の完全なノン・アクショナブル（非該当性）を担保する。</w:t>
      </w:r>
    </w:p>
    <w:p w:rsidR="00000000" w:rsidDel="00000000" w:rsidP="00000000" w:rsidRDefault="00000000" w:rsidRPr="00000000" w14:paraId="00000011">
      <w:pPr>
        <w:pStyle w:val="Heading4"/>
        <w:keepNext w:val="0"/>
        <w:keepLines w:val="0"/>
        <w:spacing w:after="40" w:before="0" w:lineRule="auto"/>
        <w:rPr>
          <w:b w:val="1"/>
          <w:bCs w:val="1"/>
          <w:color w:val="000000"/>
          <w:sz w:val="22"/>
          <w:szCs w:val="22"/>
        </w:rPr>
      </w:pPr>
      <w:bookmarkStart w:colFirst="0" w:colLast="0" w:name="_igmrz6v0tiea" w:id="5"/>
      <w:bookmarkEnd w:id="5"/>
      <w:r w:rsidDel="00000000" w:rsidR="00000000" w:rsidRPr="00000000">
        <w:rPr>
          <w:rFonts w:ascii="Arial Unicode MS" w:cs="Arial Unicode MS" w:eastAsia="Arial Unicode MS" w:hAnsi="Arial Unicode MS"/>
          <w:b w:val="1"/>
          <w:bCs w:val="1"/>
          <w:color w:val="000000"/>
          <w:sz w:val="22"/>
          <w:szCs w:val="22"/>
          <w:rtl w:val="0"/>
        </w:rPr>
        <w:t xml:space="preserve">② 口座属性識別・損益通算・米国株複雑税制・将来課税増税への対応</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口座属性自動識別＆損益通算エンジン</w:t>
      </w:r>
      <w:r w:rsidDel="00000000" w:rsidR="00000000" w:rsidRPr="00000000">
        <w:rPr>
          <w:rFonts w:ascii="Arial Unicode MS" w:cs="Arial Unicode MS" w:eastAsia="Arial Unicode MS" w:hAnsi="Arial Unicode MS"/>
          <w:rtl w:val="0"/>
        </w:rPr>
        <w:t xml:space="preserve">：</w:t>
        <w:br w:type="textWrapping"/>
        <w:t xml:space="preserve">NISA（非課税）、特定口座（源泉徴収あり/なし）、一般口座（申告課税）の属性を自動判別し、複数口座にまたがるリアルタイム損益通算および繰越控除トラッキングの正確性を検証する。</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米国株ウォッシュセール規制（30日ルール）＆日米税制差分補正エンジン</w:t>
      </w:r>
      <w:r w:rsidDel="00000000" w:rsidR="00000000" w:rsidRPr="00000000">
        <w:rPr>
          <w:rFonts w:ascii="Arial Unicode MS" w:cs="Arial Unicode MS" w:eastAsia="Arial Unicode MS" w:hAnsi="Arial Unicode MS"/>
          <w:rtl w:val="0"/>
        </w:rPr>
        <w:t xml:space="preserve">：</w:t>
        <w:br w:type="textWrapping"/>
        <w:t xml:space="preserve">米国株の損出しクロス取引等におけるウォッシュセール規制の抵触リスクを事前検知し、日米間の税制・為替差分の自動補正ロジックの精度を検証する。</w:t>
      </w:r>
    </w:p>
    <w:p w:rsidR="00000000" w:rsidDel="00000000" w:rsidP="00000000" w:rsidRDefault="00000000" w:rsidRPr="00000000" w14:paraId="00000014">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将来30%課税ストレステスト</w:t>
      </w:r>
      <w:r w:rsidDel="00000000" w:rsidR="00000000" w:rsidRPr="00000000">
        <w:rPr>
          <w:rFonts w:ascii="Arial Unicode MS" w:cs="Arial Unicode MS" w:eastAsia="Arial Unicode MS" w:hAnsi="Arial Unicode MS"/>
          <w:rtl w:val="0"/>
        </w:rPr>
        <w:t xml:space="preserve">：</w:t>
        <w:br w:type="textWrapping"/>
        <w:t xml:space="preserve">キャピタルゲイン増税（現行約20%から将来的な30%引き上げシナリオ）を想定した資産形成シミュレーションを行い、動的な税率変動に対するガードレール機能を検証する。</w:t>
      </w:r>
    </w:p>
    <w:p w:rsidR="00000000" w:rsidDel="00000000" w:rsidP="00000000" w:rsidRDefault="00000000" w:rsidRPr="00000000" w14:paraId="00000015">
      <w:pPr>
        <w:pStyle w:val="Heading4"/>
        <w:keepNext w:val="0"/>
        <w:keepLines w:val="0"/>
        <w:spacing w:after="40" w:before="0" w:lineRule="auto"/>
        <w:rPr>
          <w:b w:val="1"/>
          <w:bCs w:val="1"/>
          <w:color w:val="000000"/>
          <w:sz w:val="22"/>
          <w:szCs w:val="22"/>
        </w:rPr>
      </w:pPr>
      <w:bookmarkStart w:colFirst="0" w:colLast="0" w:name="_qiimewyofje0" w:id="6"/>
      <w:bookmarkEnd w:id="6"/>
      <w:r w:rsidDel="00000000" w:rsidR="00000000" w:rsidRPr="00000000">
        <w:rPr>
          <w:rFonts w:ascii="Arial Unicode MS" w:cs="Arial Unicode MS" w:eastAsia="Arial Unicode MS" w:hAnsi="Arial Unicode MS"/>
          <w:b w:val="1"/>
          <w:bCs w:val="1"/>
          <w:color w:val="000000"/>
          <w:sz w:val="22"/>
          <w:szCs w:val="22"/>
          <w:rtl w:val="0"/>
        </w:rPr>
        <w:t xml:space="preserve">③ 相続税・贈与税法（トリプル税務絶対境界値）および判例への対応</w:t>
      </w:r>
    </w:p>
    <w:p w:rsidR="00000000" w:rsidDel="00000000" w:rsidP="00000000" w:rsidRDefault="00000000" w:rsidRPr="00000000" w14:paraId="00000016">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トリプル税務絶対境界値ロック</w:t>
      </w:r>
      <w:r w:rsidDel="00000000" w:rsidR="00000000" w:rsidRPr="00000000">
        <w:rPr>
          <w:rFonts w:ascii="Arial Unicode MS" w:cs="Arial Unicode MS" w:eastAsia="Arial Unicode MS" w:hAnsi="Arial Unicode MS"/>
          <w:rtl w:val="0"/>
        </w:rPr>
        <w:t xml:space="preserve">：</w:t>
        <w:br w:type="textWrapping"/>
        <w:t xml:space="preserve">年間110万円（暦年贈与基礎控除）、60万円（特定非課税枠境界値）、および20万円（申告不要雑所得バウンダリ）をシステムにハードコード。各枠のシミュレーション累積額が閾値に達した時点でアラートを発信し、上限を超えるトランザクションはシステム側で自動ホールド（物理ロック）する。意図せぬ申告漏れや税務エラーの発生率「ゼロ」を検証する。</w:t>
      </w:r>
    </w:p>
    <w:p w:rsidR="00000000" w:rsidDel="00000000" w:rsidP="00000000" w:rsidRDefault="00000000" w:rsidRPr="00000000" w14:paraId="00000017">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最高裁判決対応電子都度贈与プロトコル</w:t>
      </w:r>
      <w:r w:rsidDel="00000000" w:rsidR="00000000" w:rsidRPr="00000000">
        <w:rPr>
          <w:rFonts w:ascii="Arial Unicode MS" w:cs="Arial Unicode MS" w:eastAsia="Arial Unicode MS" w:hAnsi="Arial Unicode MS"/>
          <w:rtl w:val="0"/>
        </w:rPr>
        <w:t xml:space="preserve">：</w:t>
        <w:br w:type="textWrapping"/>
        <w:t xml:space="preserve">定期贈与とみなされるリスクを回避するため、都度贈与の意思表示をミリ秒単位のタイムスタンプとともにブロックチェーン/改ざん不可ログへ記録する「スマート電子都度贈与プロトコル」の実証を行う。</w:t>
      </w:r>
    </w:p>
    <w:p w:rsidR="00000000" w:rsidDel="00000000" w:rsidP="00000000" w:rsidRDefault="00000000" w:rsidRPr="00000000" w14:paraId="00000018">
      <w:pPr>
        <w:pStyle w:val="Heading4"/>
        <w:keepNext w:val="0"/>
        <w:keepLines w:val="0"/>
        <w:spacing w:after="40" w:before="0" w:lineRule="auto"/>
        <w:rPr>
          <w:b w:val="1"/>
          <w:bCs w:val="1"/>
          <w:color w:val="000000"/>
          <w:sz w:val="22"/>
          <w:szCs w:val="22"/>
        </w:rPr>
      </w:pPr>
      <w:bookmarkStart w:colFirst="0" w:colLast="0" w:name="_edu9trycr11v" w:id="7"/>
      <w:bookmarkEnd w:id="7"/>
      <w:r w:rsidDel="00000000" w:rsidR="00000000" w:rsidRPr="00000000">
        <w:rPr>
          <w:rFonts w:ascii="Arial Unicode MS" w:cs="Arial Unicode MS" w:eastAsia="Arial Unicode MS" w:hAnsi="Arial Unicode MS"/>
          <w:b w:val="1"/>
          <w:bCs w:val="1"/>
          <w:color w:val="000000"/>
          <w:sz w:val="22"/>
          <w:szCs w:val="22"/>
          <w:rtl w:val="0"/>
        </w:rPr>
        <w:t xml:space="preserve">④ 外貨運用・為替差益課税および確定申告サポートへの対応</w:t>
      </w:r>
    </w:p>
    <w:p w:rsidR="00000000" w:rsidDel="00000000" w:rsidP="00000000" w:rsidRDefault="00000000" w:rsidRPr="00000000" w14:paraId="00000019">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為替差益自動計算エンジン（ミリ秒処理）</w:t>
      </w:r>
      <w:r w:rsidDel="00000000" w:rsidR="00000000" w:rsidRPr="00000000">
        <w:rPr>
          <w:rFonts w:ascii="Arial Unicode MS" w:cs="Arial Unicode MS" w:eastAsia="Arial Unicode MS" w:hAnsi="Arial Unicode MS"/>
          <w:rtl w:val="0"/>
        </w:rPr>
        <w:t xml:space="preserve">：</w:t>
        <w:br w:type="textWrapping"/>
        <w:t xml:space="preserve">リアルタイムで為替差益を算出・蓄積し、確定申告が必要となる20万円バウンダリを自動監視する。</w:t>
      </w:r>
    </w:p>
    <w:p w:rsidR="00000000" w:rsidDel="00000000" w:rsidP="00000000" w:rsidRDefault="00000000" w:rsidRPr="00000000" w14:paraId="0000001A">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確定申告サポートデータワンクリック出力</w:t>
      </w:r>
      <w:r w:rsidDel="00000000" w:rsidR="00000000" w:rsidRPr="00000000">
        <w:rPr>
          <w:rFonts w:ascii="Arial Unicode MS" w:cs="Arial Unicode MS" w:eastAsia="Arial Unicode MS" w:hAnsi="Arial Unicode MS"/>
          <w:rtl w:val="0"/>
        </w:rPr>
        <w:t xml:space="preserve">：</w:t>
        <w:br w:type="textWrapping"/>
        <w:t xml:space="preserve">エンドユーザーが確定申告をシームレスに行えるよう、申告用データ（CSV/PDF/XML）をワンクリックで生成するモジュールを実証する。</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3gj0gvh9iirf" w:id="8"/>
      <w:bookmarkEnd w:id="8"/>
      <w:r w:rsidDel="00000000" w:rsidR="00000000" w:rsidRPr="00000000">
        <w:rPr>
          <w:rFonts w:ascii="Arial Unicode MS" w:cs="Arial Unicode MS" w:eastAsia="Arial Unicode MS" w:hAnsi="Arial Unicode MS"/>
          <w:b w:val="1"/>
          <w:bCs w:val="1"/>
          <w:color w:val="000000"/>
          <w:sz w:val="26"/>
          <w:szCs w:val="26"/>
          <w:rtl w:val="0"/>
        </w:rPr>
        <w:t xml:space="preserve">4. 競争政策上の中立性担保（マルチ・ブローカー・プロトコル）</w:t>
      </w:r>
    </w:p>
    <w:p w:rsidR="00000000" w:rsidDel="00000000" w:rsidP="00000000" w:rsidRDefault="00000000" w:rsidRPr="00000000" w14:paraId="0000001C">
      <w:pPr>
        <w:spacing w:after="240" w:lineRule="auto"/>
        <w:rPr/>
      </w:pPr>
      <w:r w:rsidDel="00000000" w:rsidR="00000000" w:rsidRPr="00000000">
        <w:rPr>
          <w:rFonts w:ascii="Arial Unicode MS" w:cs="Arial Unicode MS" w:eastAsia="Arial Unicode MS" w:hAnsi="Arial Unicode MS"/>
          <w:rtl w:val="0"/>
        </w:rPr>
        <w:t xml:space="preserve">本プラットフォームは特定の民間金融機関を優遇するものではない。 実証実験において、シミュレーションから実際の口座開設フォーム（外部サイト）へ遷移する動線は、金融庁の認可金融機関リスト（ホワイトリスト）に基づき、動的に複数提示（シャッフル表示）を行う「中立プロバイダ・プロトコル」を適用する。これにより、特定の経済圏への顧客囲い込み（エココマーシャル）を完全に排除し、市場の公正な競争環境を維持する。</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r67lwjys0f4h" w:id="9"/>
      <w:bookmarkEnd w:id="9"/>
      <w:r w:rsidDel="00000000" w:rsidR="00000000" w:rsidRPr="00000000">
        <w:rPr>
          <w:rFonts w:ascii="Arial Unicode MS" w:cs="Arial Unicode MS" w:eastAsia="Arial Unicode MS" w:hAnsi="Arial Unicode MS"/>
          <w:b w:val="1"/>
          <w:bCs w:val="1"/>
          <w:color w:val="000000"/>
          <w:sz w:val="26"/>
          <w:szCs w:val="26"/>
          <w:rtl w:val="0"/>
        </w:rPr>
        <w:t xml:space="preserve">5. 安全管理措置（データプライバシー）</w:t>
      </w:r>
    </w:p>
    <w:p w:rsidR="00000000" w:rsidDel="00000000" w:rsidP="00000000" w:rsidRDefault="00000000" w:rsidRPr="00000000" w14:paraId="0000001E">
      <w:pPr>
        <w:spacing w:after="240" w:lineRule="auto"/>
        <w:rPr/>
      </w:pPr>
      <w:r w:rsidDel="00000000" w:rsidR="00000000" w:rsidRPr="00000000">
        <w:rPr>
          <w:rFonts w:ascii="Arial Unicode MS" w:cs="Arial Unicode MS" w:eastAsia="Arial Unicode MS" w:hAnsi="Arial Unicode MS"/>
          <w:rtl w:val="0"/>
        </w:rPr>
        <w:t xml:space="preserve">収集するライフログおよびシミュレーションデータは、個人を特定できないよう非識別化（アノニマイズ）処理を施した上で、国内の最高水準のセキュリティ基準を満たすデータセンター内で暗号化・管理される。実証終了後、教育効果の分析レポートを取りまとめ、金融庁および文部科学省へ提出する。</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