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6l3n8lh6ntcj" w:id="0"/>
      <w:bookmarkEnd w:id="0"/>
      <w:r w:rsidDel="00000000" w:rsidR="00000000" w:rsidRPr="00000000">
        <w:rPr>
          <w:rFonts w:ascii="Arial Unicode MS" w:cs="Arial Unicode MS" w:eastAsia="Arial Unicode MS" w:hAnsi="Arial Unicode MS"/>
          <w:b w:val="1"/>
          <w:bCs w:val="1"/>
          <w:sz w:val="46"/>
          <w:szCs w:val="46"/>
          <w:rtl w:val="0"/>
        </w:rPr>
        <w:t xml:space="preserve">17_GWB プロジェクト内部統制資料【修正案・仕様書v7.1準拠】</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US Legal &amp; Compliance Executive Summary (Revised v7_1)</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CONFIDENTIAL / FOR INTERNAL USE ONLY</w:t>
      </w:r>
    </w:p>
    <w:p w:rsidR="00000000" w:rsidDel="00000000" w:rsidP="00000000" w:rsidRDefault="00000000" w:rsidRPr="00000000" w14:paraId="00000004">
      <w:pPr>
        <w:spacing w:after="240" w:lineRule="auto"/>
        <w:rPr/>
      </w:pPr>
      <w:r w:rsidDel="00000000" w:rsidR="00000000" w:rsidRPr="00000000">
        <w:rPr>
          <w:b w:val="1"/>
          <w:bCs w:val="1"/>
          <w:rtl w:val="0"/>
        </w:rPr>
        <w:t xml:space="preserve">To</w:t>
      </w:r>
      <w:r w:rsidDel="00000000" w:rsidR="00000000" w:rsidRPr="00000000">
        <w:rPr>
          <w:rtl w:val="0"/>
        </w:rPr>
        <w:t xml:space="preserve">: US Legal, Antitrust Compliance, and Risk Management Committee</w:t>
      </w:r>
    </w:p>
    <w:p w:rsidR="00000000" w:rsidDel="00000000" w:rsidP="00000000" w:rsidRDefault="00000000" w:rsidRPr="00000000" w14:paraId="00000005">
      <w:pPr>
        <w:spacing w:after="240" w:lineRule="auto"/>
        <w:rPr/>
      </w:pPr>
      <w:r w:rsidDel="00000000" w:rsidR="00000000" w:rsidRPr="00000000">
        <w:rPr>
          <w:b w:val="1"/>
          <w:bCs w:val="1"/>
          <w:rtl w:val="0"/>
        </w:rPr>
        <w:t xml:space="preserve">From</w:t>
      </w:r>
      <w:r w:rsidDel="00000000" w:rsidR="00000000" w:rsidRPr="00000000">
        <w:rPr>
          <w:rtl w:val="0"/>
        </w:rPr>
        <w:t xml:space="preserve">: Japan Business Development &amp; Cloud Architecture Team</w:t>
      </w:r>
    </w:p>
    <w:p w:rsidR="00000000" w:rsidDel="00000000" w:rsidP="00000000" w:rsidRDefault="00000000" w:rsidRPr="00000000" w14:paraId="00000006">
      <w:pPr>
        <w:spacing w:after="240" w:lineRule="auto"/>
        <w:rPr/>
      </w:pPr>
      <w:r w:rsidDel="00000000" w:rsidR="00000000" w:rsidRPr="00000000">
        <w:rPr>
          <w:b w:val="1"/>
          <w:bCs w:val="1"/>
          <w:rtl w:val="0"/>
        </w:rPr>
        <w:t xml:space="preserve">Subject</w:t>
      </w:r>
      <w:r w:rsidDel="00000000" w:rsidR="00000000" w:rsidRPr="00000000">
        <w:rPr>
          <w:rtl w:val="0"/>
        </w:rPr>
        <w:t xml:space="preserve">: Legal &amp; Regulatory Risk Mitigation for Project "Generative Wealth Bridge" (GWB) (v7_1 Specification Alignment)</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oq992tbs8rcf" w:id="1"/>
      <w:bookmarkEnd w:id="1"/>
      <w:r w:rsidDel="00000000" w:rsidR="00000000" w:rsidRPr="00000000">
        <w:rPr>
          <w:b w:val="1"/>
          <w:bCs w:val="1"/>
          <w:color w:val="000000"/>
          <w:sz w:val="26"/>
          <w:szCs w:val="26"/>
          <w:rtl w:val="0"/>
        </w:rPr>
        <w:t xml:space="preserve">1. Project Overview &amp; Commercial Rationale</w:t>
      </w:r>
    </w:p>
    <w:p w:rsidR="00000000" w:rsidDel="00000000" w:rsidP="00000000" w:rsidRDefault="00000000" w:rsidRPr="00000000" w14:paraId="00000008">
      <w:pPr>
        <w:spacing w:after="240" w:lineRule="auto"/>
        <w:rPr/>
      </w:pPr>
      <w:r w:rsidDel="00000000" w:rsidR="00000000" w:rsidRPr="00000000">
        <w:rPr>
          <w:rtl w:val="0"/>
        </w:rPr>
        <w:t xml:space="preserve">Project "GWB" is a next-generation asset inheritance AI platform designed as a strategic "door-opener" (loss-leader) to capture high-value financial infrastructure contracts (AWS/Azure migration to GCP). The front-end user interface will be provided to tier-1 financial institutions at zero license cost (freemium). The core monetization model relies entirely on downstream GCP cloud infrastructure revenue generated through "Data Gravity."</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1jvesgcp7nz0" w:id="2"/>
      <w:bookmarkEnd w:id="2"/>
      <w:r w:rsidDel="00000000" w:rsidR="00000000" w:rsidRPr="00000000">
        <w:rPr>
          <w:b w:val="1"/>
          <w:bCs w:val="1"/>
          <w:color w:val="000000"/>
          <w:sz w:val="26"/>
          <w:szCs w:val="26"/>
          <w:rtl w:val="0"/>
        </w:rPr>
        <w:t xml:space="preserve">2. US Antitrust &amp; Japan Antimonopoly Act (AMA) Risk Mitigation</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7111j44m13q4" w:id="3"/>
      <w:bookmarkEnd w:id="3"/>
      <w:r w:rsidDel="00000000" w:rsidR="00000000" w:rsidRPr="00000000">
        <w:rPr>
          <w:b w:val="1"/>
          <w:bCs w:val="1"/>
          <w:color w:val="000000"/>
          <w:sz w:val="22"/>
          <w:szCs w:val="22"/>
          <w:rtl w:val="0"/>
        </w:rPr>
        <w:t xml:space="preserve">A. Preventing "Exclusionary Conduct" Claims via Open Plug-in Architecture</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Risk</w:t>
      </w:r>
      <w:r w:rsidDel="00000000" w:rsidR="00000000" w:rsidRPr="00000000">
        <w:rPr>
          <w:rtl w:val="0"/>
        </w:rPr>
        <w:t xml:space="preserve">: Leveraging dominance in one market to exclude competitors in another is prohibited under both US Antitrust Laws (Sherman Act Section 2) and Japan’s AMA.</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Mitigation</w:t>
      </w:r>
      <w:r w:rsidDel="00000000" w:rsidR="00000000" w:rsidRPr="00000000">
        <w:rPr>
          <w:rtl w:val="0"/>
        </w:rPr>
        <w:t xml:space="preserve">: GWB utilizes an open API plug-in architecture. The platform does not mandate exclusive use of GCP for the client’s legacy systems at contract inception. Any financial institution on the regulatory whitelist can connect via standard protocols. By maintaining an "Open Access" framework, we eliminate the legal basis for "tying" or "refusal to deal" claims.</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h6cbzq2sfx1e" w:id="4"/>
      <w:bookmarkEnd w:id="4"/>
      <w:r w:rsidDel="00000000" w:rsidR="00000000" w:rsidRPr="00000000">
        <w:rPr>
          <w:b w:val="1"/>
          <w:bCs w:val="1"/>
          <w:color w:val="000000"/>
          <w:sz w:val="22"/>
          <w:szCs w:val="22"/>
          <w:rtl w:val="0"/>
        </w:rPr>
        <w:t xml:space="preserve">B. Objective Neutrality via "Multi-Broker Protocol" &amp; Technical Optimization</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Risk</w:t>
      </w:r>
      <w:r w:rsidDel="00000000" w:rsidR="00000000" w:rsidRPr="00000000">
        <w:rPr>
          <w:rtl w:val="0"/>
        </w:rPr>
        <w:t xml:space="preserve">: Arbitrary manipulation of financial institution rankings would trigger immediate regulatory blockages from Japan’s Financial Services Agency (FSA) and violate antitrust non-discrimination principles.</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Mitigation</w:t>
      </w:r>
      <w:r w:rsidDel="00000000" w:rsidR="00000000" w:rsidRPr="00000000">
        <w:rPr>
          <w:rtl w:val="0"/>
        </w:rPr>
        <w:t xml:space="preserve">: The consumer-facing UI features a "Multi-Broker Protocol" that dynamically shuffles and displays multiple financial institutions based on objective, non-discriminatory criteria (e.g., user location and demographics).</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Technical Optimization (Incentive Structure)</w:t>
      </w:r>
      <w:r w:rsidDel="00000000" w:rsidR="00000000" w:rsidRPr="00000000">
        <w:rPr>
          <w:rtl w:val="0"/>
        </w:rPr>
        <w:t xml:space="preserve">: The underlying ML model (Vertex AI) naturally optimizes for pipeline efficiency and response velocity. Consequently, financial institutions hosting their core databases on GCP achieve lower technical latency (millisecond-level data integration) and seamless execution. This structural advantage natively yields superior UX scoring within the dynamic ranking model. This performance-driven differentiation is rooted in pure technological merit (reduced latency), entirely insulating the platform from claims of intentional or malicious regulatory evasion.</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3u86vux1udpj" w:id="5"/>
      <w:bookmarkEnd w:id="5"/>
      <w:r w:rsidDel="00000000" w:rsidR="00000000" w:rsidRPr="00000000">
        <w:rPr>
          <w:b w:val="1"/>
          <w:bCs w:val="1"/>
          <w:color w:val="000000"/>
          <w:sz w:val="26"/>
          <w:szCs w:val="26"/>
          <w:rtl w:val="0"/>
        </w:rPr>
        <w:t xml:space="preserve">3. Financial Regulatory &amp; Halucination Guardrails</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7r5mx8ui1jiv" w:id="6"/>
      <w:bookmarkEnd w:id="6"/>
      <w:r w:rsidDel="00000000" w:rsidR="00000000" w:rsidRPr="00000000">
        <w:rPr>
          <w:b w:val="1"/>
          <w:bCs w:val="1"/>
          <w:color w:val="000000"/>
          <w:sz w:val="22"/>
          <w:szCs w:val="22"/>
          <w:rtl w:val="0"/>
        </w:rPr>
        <w:t xml:space="preserve">A. Investment Advisory Act Isolation</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Mitigation</w:t>
      </w:r>
      <w:r w:rsidDel="00000000" w:rsidR="00000000" w:rsidRPr="00000000">
        <w:rPr>
          <w:rtl w:val="0"/>
        </w:rPr>
        <w:t xml:space="preserve">: To insulate Google from liability regarding unauthorized financial advice, an output censorship layer is hard-coded into the LLM architecture. The system is structurally blocked from outputting specific stock tickers or guaranteeing investment returns. Furthermore, all legal liability and end-user terms of service are legally indemnified and pushed to the client financial institution's existing compliance framework.</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23b4169ospm1" w:id="7"/>
      <w:bookmarkEnd w:id="7"/>
      <w:r w:rsidDel="00000000" w:rsidR="00000000" w:rsidRPr="00000000">
        <w:rPr>
          <w:rFonts w:ascii="Arial Unicode MS" w:cs="Arial Unicode MS" w:eastAsia="Arial Unicode MS" w:hAnsi="Arial Unicode MS"/>
          <w:b w:val="1"/>
          <w:bCs w:val="1"/>
          <w:color w:val="000000"/>
          <w:sz w:val="22"/>
          <w:szCs w:val="22"/>
          <w:rtl w:val="0"/>
        </w:rPr>
        <w:t xml:space="preserve">B. Account Type Tax Logic, US Wash-Sale Rule, Multi-Tax Boundary Lock &amp; Supreme Court Precedent Compliance 【v7_1 Upgraded】</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Mitigation (Account Type Identification &amp; Capital Gains Stress Testing)</w:t>
      </w:r>
      <w:r w:rsidDel="00000000" w:rsidR="00000000" w:rsidRPr="00000000">
        <w:rPr>
          <w:rtl w:val="0"/>
        </w:rPr>
        <w:t xml:space="preserve">: The platform automatically classifies accounts into NISA (tax-exempt), Specific (withholding/no-withholding), and General (declaration) accounts. It calculates real-time loss-carryforwards across accounts and incorporates a stress-testing engine for potential future capital gains tax hikes (up to 30%), shielding the platform from tax advice liability.</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Mitigation (US Wash-Sale Rule &amp; US-Japan Tax Reconciliation Engine)</w:t>
      </w:r>
      <w:r w:rsidDel="00000000" w:rsidR="00000000" w:rsidRPr="00000000">
        <w:rPr>
          <w:rtl w:val="0"/>
        </w:rPr>
        <w:t xml:space="preserve">: To address cross-border trading complexities, the engine embeds a pre-execution alert module for the US Wash-Sale Rule (30-day window) and automatically reconciles US-Japan tax credit differentials and currency exchange adjustments.</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bCs w:val="1"/>
          <w:rtl w:val="0"/>
        </w:rPr>
        <w:t xml:space="preserve">Mitigation (Triple Tax Boundary Lock)</w:t>
      </w:r>
      <w:r w:rsidDel="00000000" w:rsidR="00000000" w:rsidRPr="00000000">
        <w:rPr>
          <w:rtl w:val="0"/>
        </w:rPr>
        <w:t xml:space="preserve">: To prevent accidental tax penalties and reporting omissions, the system implements a strict physical lock aligned with Japan's tax boundaries:</w:t>
      </w:r>
    </w:p>
    <w:p w:rsidR="00000000" w:rsidDel="00000000" w:rsidP="00000000" w:rsidRDefault="00000000" w:rsidRPr="00000000" w14:paraId="00000018">
      <w:pPr>
        <w:numPr>
          <w:ilvl w:val="1"/>
          <w:numId w:val="4"/>
        </w:numPr>
        <w:spacing w:after="0" w:afterAutospacing="0" w:lineRule="auto"/>
        <w:ind w:left="1440" w:hanging="360"/>
      </w:pPr>
      <w:r w:rsidDel="00000000" w:rsidR="00000000" w:rsidRPr="00000000">
        <w:rPr>
          <w:b w:val="1"/>
          <w:bCs w:val="1"/>
          <w:rtl w:val="0"/>
        </w:rPr>
        <w:t xml:space="preserve">JPY 1.1 Million Boundary</w:t>
      </w:r>
      <w:r w:rsidDel="00000000" w:rsidR="00000000" w:rsidRPr="00000000">
        <w:rPr>
          <w:rtl w:val="0"/>
        </w:rPr>
        <w:t xml:space="preserve">: Annual tax-free gift threshold (triggers alert at JPY 1.0M, auto-holds at JPY 1.1M).</w:t>
      </w:r>
    </w:p>
    <w:p w:rsidR="00000000" w:rsidDel="00000000" w:rsidP="00000000" w:rsidRDefault="00000000" w:rsidRPr="00000000" w14:paraId="00000019">
      <w:pPr>
        <w:numPr>
          <w:ilvl w:val="1"/>
          <w:numId w:val="4"/>
        </w:numPr>
        <w:spacing w:after="0" w:afterAutospacing="0" w:lineRule="auto"/>
        <w:ind w:left="1440" w:hanging="360"/>
      </w:pPr>
      <w:r w:rsidDel="00000000" w:rsidR="00000000" w:rsidRPr="00000000">
        <w:rPr>
          <w:b w:val="1"/>
          <w:bCs w:val="1"/>
          <w:rtl w:val="0"/>
        </w:rPr>
        <w:t xml:space="preserve">JPY 0.6 Million Boundary</w:t>
      </w:r>
      <w:r w:rsidDel="00000000" w:rsidR="00000000" w:rsidRPr="00000000">
        <w:rPr>
          <w:rtl w:val="0"/>
        </w:rPr>
        <w:t xml:space="preserve">: Specific tax-exempt transfer threshold.</w:t>
      </w:r>
    </w:p>
    <w:p w:rsidR="00000000" w:rsidDel="00000000" w:rsidP="00000000" w:rsidRDefault="00000000" w:rsidRPr="00000000" w14:paraId="0000001A">
      <w:pPr>
        <w:numPr>
          <w:ilvl w:val="1"/>
          <w:numId w:val="4"/>
        </w:numPr>
        <w:spacing w:after="0" w:afterAutospacing="0" w:lineRule="auto"/>
        <w:ind w:left="1440" w:hanging="360"/>
      </w:pPr>
      <w:r w:rsidDel="00000000" w:rsidR="00000000" w:rsidRPr="00000000">
        <w:rPr>
          <w:b w:val="1"/>
          <w:bCs w:val="1"/>
          <w:rtl w:val="0"/>
        </w:rPr>
        <w:t xml:space="preserve">JPY 0.2 Million Boundary</w:t>
      </w:r>
      <w:r w:rsidDel="00000000" w:rsidR="00000000" w:rsidRPr="00000000">
        <w:rPr>
          <w:rtl w:val="0"/>
        </w:rPr>
        <w:t xml:space="preserve">: Foreign exchange gain (FX gain) non-reporting threshold for miscellaneous income.</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b w:val="1"/>
          <w:bCs w:val="1"/>
          <w:rtl w:val="0"/>
        </w:rPr>
        <w:t xml:space="preserve">Mitigation (Supreme Court Precedent &amp; Millisecond Engine)</w:t>
      </w:r>
      <w:r w:rsidDel="00000000" w:rsidR="00000000" w:rsidRPr="00000000">
        <w:rPr>
          <w:rFonts w:ascii="Arial Unicode MS" w:cs="Arial Unicode MS" w:eastAsia="Arial Unicode MS" w:hAnsi="Arial Unicode MS"/>
          <w:rtl w:val="0"/>
        </w:rPr>
        <w:t xml:space="preserve">: To eliminate the risk of gifts being reclassified as "periodic gifts" (定期贈与) under Supreme Court precedent, the system auto-generates individual gift agreements timestamped down to the millisecond. Additionally, an integrated </w:t>
      </w:r>
      <w:r w:rsidDel="00000000" w:rsidR="00000000" w:rsidRPr="00000000">
        <w:rPr>
          <w:b w:val="1"/>
          <w:bCs w:val="1"/>
          <w:rtl w:val="0"/>
        </w:rPr>
        <w:t xml:space="preserve">Millisecond FX Gain &amp; Loss Offset Calculation Engine</w:t>
      </w:r>
      <w:r w:rsidDel="00000000" w:rsidR="00000000" w:rsidRPr="00000000">
        <w:rPr>
          <w:rtl w:val="0"/>
        </w:rPr>
        <w:t xml:space="preserve"> continuously tracks foreign exchange gains/losses and provides a one-click tax reporting data output (CSV/PDF/XML), ensuring full tax compliance encapsulation at the system layer.</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wapvklpvpsm7" w:id="8"/>
      <w:bookmarkEnd w:id="8"/>
      <w:r w:rsidDel="00000000" w:rsidR="00000000" w:rsidRPr="00000000">
        <w:rPr>
          <w:b w:val="1"/>
          <w:bCs w:val="1"/>
          <w:color w:val="000000"/>
          <w:sz w:val="26"/>
          <w:szCs w:val="26"/>
          <w:rtl w:val="0"/>
        </w:rPr>
        <w:t xml:space="preserve">4. Conclusion &amp; Legal Recommendation</w:t>
      </w:r>
    </w:p>
    <w:p w:rsidR="00000000" w:rsidDel="00000000" w:rsidP="00000000" w:rsidRDefault="00000000" w:rsidRPr="00000000" w14:paraId="0000001D">
      <w:pPr>
        <w:spacing w:after="240" w:lineRule="auto"/>
        <w:rPr/>
      </w:pPr>
      <w:r w:rsidDel="00000000" w:rsidR="00000000" w:rsidRPr="00000000">
        <w:rPr>
          <w:rtl w:val="0"/>
        </w:rPr>
        <w:t xml:space="preserve">The platform’s architectural design successfully encapsulates and immunizes Google from core antitrust, tax, and financial advisory liabilities. To maintain full compliance, the Sales/BizDev teams will be restricted by a strict internal legal guideline prohibiting any written or verbal communication that conditions the use of GWB upon the termination of competitor cloud contracts (AWS/Azure).</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Recommendation</w:t>
      </w:r>
      <w:r w:rsidDel="00000000" w:rsidR="00000000" w:rsidRPr="00000000">
        <w:rPr>
          <w:rtl w:val="0"/>
        </w:rPr>
        <w:t xml:space="preserve">: Approve project progression to Phase 1 (US PoC) and Phase 2 (Japan Regulatory Sandbox) concurrently.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