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4dc74pms4hfe" w:id="0"/>
      <w:bookmarkEnd w:id="0"/>
      <w:r w:rsidDel="00000000" w:rsidR="00000000" w:rsidRPr="00000000">
        <w:rPr>
          <w:rFonts w:ascii="Arial Unicode MS" w:cs="Arial Unicode MS" w:eastAsia="Arial Unicode MS" w:hAnsi="Arial Unicode MS"/>
          <w:b w:val="1"/>
          <w:bCs w:val="1"/>
          <w:sz w:val="46"/>
          <w:szCs w:val="46"/>
          <w:rtl w:val="0"/>
        </w:rPr>
        <w:t xml:space="preserve">18_プレゼンピッチ台本（経営幹部・CFO向け：完全防衛版・仕様書v7.1準拠）</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b w:val="1"/>
          <w:bCs w:val="1"/>
          <w:rtl w:val="0"/>
        </w:rPr>
        <w:t xml:space="preserve">【設定】</w:t>
      </w:r>
      <w:r w:rsidDel="00000000" w:rsidR="00000000" w:rsidRPr="00000000">
        <w:rPr>
          <w:rFonts w:ascii="Arial Unicode MS" w:cs="Arial Unicode MS" w:eastAsia="Arial Unicode MS" w:hAnsi="Arial Unicode MS"/>
          <w:rtl w:val="0"/>
        </w:rPr>
        <w:t xml:space="preserve"> 持ち時間：5分（決裁会議を想定）</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b w:val="1"/>
          <w:bCs w:val="1"/>
          <w:rtl w:val="0"/>
        </w:rPr>
        <w:t xml:space="preserve">【登壇者】</w:t>
      </w:r>
      <w:r w:rsidDel="00000000" w:rsidR="00000000" w:rsidRPr="00000000">
        <w:rPr>
          <w:rFonts w:ascii="Arial Unicode MS" w:cs="Arial Unicode MS" w:eastAsia="Arial Unicode MS" w:hAnsi="Arial Unicode MS"/>
          <w:rtl w:val="0"/>
        </w:rPr>
        <w:t xml:space="preserve"> ビジネス開発部（BizDev）担当者</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b w:val="1"/>
          <w:bCs w:val="1"/>
          <w:rtl w:val="0"/>
        </w:rPr>
        <w:t xml:space="preserve">【トーン】</w:t>
      </w:r>
      <w:r w:rsidDel="00000000" w:rsidR="00000000" w:rsidRPr="00000000">
        <w:rPr>
          <w:rFonts w:ascii="Arial Unicode MS" w:cs="Arial Unicode MS" w:eastAsia="Arial Unicode MS" w:hAnsi="Arial Unicode MS"/>
          <w:rtl w:val="0"/>
        </w:rPr>
        <w:t xml:space="preserve"> 揺るぎない自信、冷徹な経済合理性、挑戦的かつスマート</w:t>
      </w:r>
    </w:p>
    <w:p w:rsidR="00000000" w:rsidDel="00000000" w:rsidP="00000000" w:rsidRDefault="00000000" w:rsidRPr="00000000" w14:paraId="00000005">
      <w:pPr>
        <w:pStyle w:val="Heading4"/>
        <w:keepNext w:val="0"/>
        <w:keepLines w:val="0"/>
        <w:spacing w:after="40" w:before="0" w:lineRule="auto"/>
        <w:rPr>
          <w:b w:val="1"/>
          <w:bCs w:val="1"/>
          <w:color w:val="000000"/>
          <w:sz w:val="22"/>
          <w:szCs w:val="22"/>
        </w:rPr>
      </w:pPr>
      <w:bookmarkStart w:colFirst="0" w:colLast="0" w:name="_vf0fuxcjbew4" w:id="1"/>
      <w:bookmarkEnd w:id="1"/>
      <w:r w:rsidDel="00000000" w:rsidR="00000000" w:rsidRPr="00000000">
        <w:rPr>
          <w:rFonts w:ascii="Arial Unicode MS" w:cs="Arial Unicode MS" w:eastAsia="Arial Unicode MS" w:hAnsi="Arial Unicode MS"/>
          <w:b w:val="1"/>
          <w:bCs w:val="1"/>
          <w:color w:val="000000"/>
          <w:sz w:val="22"/>
          <w:szCs w:val="22"/>
          <w:rtl w:val="0"/>
        </w:rPr>
        <w:t xml:space="preserve">0分〜1分：フック（課題の提示と常識の破壊）</w:t>
      </w:r>
    </w:p>
    <w:p w:rsidR="00000000" w:rsidDel="00000000" w:rsidP="00000000" w:rsidRDefault="00000000" w:rsidRPr="00000000" w14:paraId="00000006">
      <w:pPr>
        <w:spacing w:after="240" w:lineRule="auto"/>
        <w:rPr/>
      </w:pPr>
      <w:r w:rsidDel="00000000" w:rsidR="00000000" w:rsidRPr="00000000">
        <w:rPr>
          <w:rFonts w:ascii="Arial Unicode MS" w:cs="Arial Unicode MS" w:eastAsia="Arial Unicode MS" w:hAnsi="Arial Unicode MS"/>
          <w:rtl w:val="0"/>
        </w:rPr>
        <w:t xml:space="preserve">「皆さん、現在の日本のリテール金融、特にネット証券やメガバンクが抱える『最大の恐怖』をご存知でしょうか。それは『死による数兆円規模のチャーン（顧客流出）』です。団塊の世代から40代・50代の子供へ資産が移るその一瞬で、彼らが何十年もかけて集めた預金や証券口座が、他社へ一気に流出しています。</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rtl w:val="0"/>
        </w:rPr>
        <w:t xml:space="preserve">本日ご提案する『Generative Wealth Bridge（GWB）』は、この資産流出を食い止める15年間の『防壁（リテンション・シールド）』となるAIプラットフォームです。 そして、今回の最も重要な戦略は、この強力なシステムを、金融機関へ『ライセンス無料（利益率ゼロ）』で提供するという点です。」</w:t>
      </w:r>
    </w:p>
    <w:p w:rsidR="00000000" w:rsidDel="00000000" w:rsidP="00000000" w:rsidRDefault="00000000" w:rsidRPr="00000000" w14:paraId="00000008">
      <w:pPr>
        <w:pStyle w:val="Heading4"/>
        <w:keepNext w:val="0"/>
        <w:keepLines w:val="0"/>
        <w:spacing w:after="40" w:before="0" w:lineRule="auto"/>
        <w:rPr>
          <w:b w:val="1"/>
          <w:bCs w:val="1"/>
          <w:color w:val="000000"/>
          <w:sz w:val="22"/>
          <w:szCs w:val="22"/>
        </w:rPr>
      </w:pPr>
      <w:bookmarkStart w:colFirst="0" w:colLast="0" w:name="_yg4e23r6396k" w:id="2"/>
      <w:bookmarkEnd w:id="2"/>
      <w:r w:rsidDel="00000000" w:rsidR="00000000" w:rsidRPr="00000000">
        <w:rPr>
          <w:rFonts w:ascii="Arial Unicode MS" w:cs="Arial Unicode MS" w:eastAsia="Arial Unicode MS" w:hAnsi="Arial Unicode MS"/>
          <w:b w:val="1"/>
          <w:bCs w:val="1"/>
          <w:color w:val="000000"/>
          <w:sz w:val="22"/>
          <w:szCs w:val="22"/>
          <w:rtl w:val="0"/>
        </w:rPr>
        <w:t xml:space="preserve">1分〜2分：戦略の核心（なぜ無料なのか、データの重力）</w:t>
      </w:r>
    </w:p>
    <w:p w:rsidR="00000000" w:rsidDel="00000000" w:rsidP="00000000" w:rsidRDefault="00000000" w:rsidRPr="00000000" w14:paraId="00000009">
      <w:pPr>
        <w:spacing w:after="240" w:lineRule="auto"/>
        <w:rPr/>
      </w:pPr>
      <w:r w:rsidDel="00000000" w:rsidR="00000000" w:rsidRPr="00000000">
        <w:rPr>
          <w:rFonts w:ascii="Arial Unicode MS" w:cs="Arial Unicode MS" w:eastAsia="Arial Unicode MS" w:hAnsi="Arial Unicode MS"/>
          <w:rtl w:val="0"/>
        </w:rPr>
        <w:t xml:space="preserve">「『なぜタダで配るのか？』。当然、CFOから厳しい視線が飛んでくることは承知しています。しかし、これは慈善事業ではありません。競合から、金融機関の巨大な基幹インフラを合法的に根こそぎ奪い取るための『最強の撒き餌』です。</w:t>
      </w:r>
    </w:p>
    <w:p w:rsidR="00000000" w:rsidDel="00000000" w:rsidP="00000000" w:rsidRDefault="00000000" w:rsidRPr="00000000" w14:paraId="0000000A">
      <w:pPr>
        <w:spacing w:after="240" w:lineRule="auto"/>
        <w:rPr/>
      </w:pPr>
      <w:r w:rsidDel="00000000" w:rsidR="00000000" w:rsidRPr="00000000">
        <w:rPr>
          <w:rFonts w:ascii="Arial Unicode MS" w:cs="Arial Unicode MS" w:eastAsia="Arial Unicode MS" w:hAnsi="Arial Unicode MS"/>
          <w:rtl w:val="0"/>
        </w:rPr>
        <w:t xml:space="preserve">GWBを『無料』にすることで、彼らの経営陣の導入ハードルをゼロにします。システムが稼働すると何が起きるか。数万人、数十万人の親子が日常的に入力するライフログ、資産シミュレーションデータが、非識別化された上で裏側にある我が社の『BigQuery』と『Vertex AI』へ非同期で大量に蓄積され始めます。データが溜まれば溜まるほど、そこには強力な『データの重力（Data Gravity）』が発生します。</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rtl w:val="0"/>
        </w:rPr>
        <w:t xml:space="preserve">金融機関が、この溜まったデータを既存の他社クラウドにエクスポートして使おうとすれば、莫大なデータ転送料、いわゆるEgress料金の爆発と、システム遅延によって彼らのビジネスは破綻します。つまり、彼らは『GWBのデータ資産を100%活かし続けるために、基幹データと取引システムごとGoogle Cloudへ完全引っ越し（リプレース）せざるを得ない構造』に経済的合理性によってロックインされるのです。」</w:t>
      </w:r>
    </w:p>
    <w:p w:rsidR="00000000" w:rsidDel="00000000" w:rsidP="00000000" w:rsidRDefault="00000000" w:rsidRPr="00000000" w14:paraId="0000000C">
      <w:pPr>
        <w:pStyle w:val="Heading4"/>
        <w:keepNext w:val="0"/>
        <w:keepLines w:val="0"/>
        <w:spacing w:after="40" w:before="0" w:lineRule="auto"/>
        <w:rPr>
          <w:b w:val="1"/>
          <w:bCs w:val="1"/>
          <w:color w:val="000000"/>
          <w:sz w:val="22"/>
          <w:szCs w:val="22"/>
        </w:rPr>
      </w:pPr>
      <w:bookmarkStart w:colFirst="0" w:colLast="0" w:name="_u30lucjzmurx" w:id="3"/>
      <w:bookmarkEnd w:id="3"/>
      <w:r w:rsidDel="00000000" w:rsidR="00000000" w:rsidRPr="00000000">
        <w:rPr>
          <w:rFonts w:ascii="Arial Unicode MS" w:cs="Arial Unicode MS" w:eastAsia="Arial Unicode MS" w:hAnsi="Arial Unicode MS"/>
          <w:b w:val="1"/>
          <w:bCs w:val="1"/>
          <w:color w:val="000000"/>
          <w:sz w:val="22"/>
          <w:szCs w:val="22"/>
          <w:rtl w:val="0"/>
        </w:rPr>
        <w:t xml:space="preserve">2分〜4分：リスクの完全カプセル化（法務・税務・行政対応）</w:t>
      </w:r>
    </w:p>
    <w:p w:rsidR="00000000" w:rsidDel="00000000" w:rsidP="00000000" w:rsidRDefault="00000000" w:rsidRPr="00000000" w14:paraId="0000000D">
      <w:pPr>
        <w:spacing w:after="240" w:lineRule="auto"/>
        <w:rPr/>
      </w:pPr>
      <w:r w:rsidDel="00000000" w:rsidR="00000000" w:rsidRPr="00000000">
        <w:rPr>
          <w:rFonts w:ascii="Arial Unicode MS" w:cs="Arial Unicode MS" w:eastAsia="Arial Unicode MS" w:hAnsi="Arial Unicode MS"/>
          <w:rtl w:val="0"/>
        </w:rPr>
        <w:t xml:space="preserve">「『独占禁止法や金融庁の規制、税務リスクは大丈夫か？』。ここも完璧に先回りして、日米の法務部門・反トラストコンプライアンス班と共に強固な設計（リーガルパッチ）を施しています。</w:t>
      </w:r>
    </w:p>
    <w:p w:rsidR="00000000" w:rsidDel="00000000" w:rsidP="00000000" w:rsidRDefault="00000000" w:rsidRPr="00000000" w14:paraId="0000000E">
      <w:pPr>
        <w:spacing w:after="240" w:lineRule="auto"/>
        <w:rPr/>
      </w:pPr>
      <w:r w:rsidDel="00000000" w:rsidR="00000000" w:rsidRPr="00000000">
        <w:rPr>
          <w:rFonts w:ascii="Arial Unicode MS" w:cs="Arial Unicode MS" w:eastAsia="Arial Unicode MS" w:hAnsi="Arial Unicode MS"/>
          <w:rtl w:val="0"/>
        </w:rPr>
        <w:t xml:space="preserve">まず、他社インフラの解約を契約の義務としない『オープン・プラグイン・アーキテクチャ』をとるため、抱き合わせ販売の余地はありません。また、最も警戒される金融庁の『中立性』への対応として、表向きのUIは認可業者をシャッフル提示する『マルチ・ブローカー・プロトコル』を厳格に実装します。 ただし、このシステムは、コアデータベースを当社のGCPに置いている金融機関ほど、ミリ秒単位のデータ連携で環境跨ぎの通信が発生しないため『技術的遅延（レイテンシー）が極小化され、UXスコアが圧倒的に向上する』という、純粋な技術的・客観的合理性の力学が働きます。これは日米両国の法律上、正当な『技術の質的向上に伴う競争』と定義されるため、競合からの訴訟リスクや当局からの指摘は構造的に発生しません。</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さらに、AIのアウトプット層には特定個別銘柄を遮断する『出力検閲フィルター』を実装し、投資助言違反を物理的に排除します。税務面では、最新のv7_1仕様として『口座属性（NISA/特定/一般）の自動識別』『マルチ口座リアルタイム損益通算』『将来30%課税ストレステスト』『米国株ウォッシュセール規制（30日ルール）事前判定＆日米税制差分補正』、および『110万円（暦年贈与）、60万円（特定非課税枠）、20万円（雑所得バウンダリ）』というマルチ税務絶対境界値をハードコードし、超過トランザクションを自動ホールドするシステムロックを構築しました。最高裁判決に基づく定期贈与認定リスクに対しても、ミリ秒タイムスタンプ付き電子都度贈与プロトコルで完全に封じ込めています。また、外貨運用の為替差益もミリ秒単位で自動計算され、確定申告サポートデータ（PDF/CSV/XML）をワンクリックで出力可能です。</w:t>
      </w:r>
    </w:p>
    <w:p w:rsidR="00000000" w:rsidDel="00000000" w:rsidP="00000000" w:rsidRDefault="00000000" w:rsidRPr="00000000" w14:paraId="00000010">
      <w:pPr>
        <w:spacing w:after="240" w:lineRule="auto"/>
        <w:rPr/>
      </w:pPr>
      <w:r w:rsidDel="00000000" w:rsidR="00000000" w:rsidRPr="00000000">
        <w:rPr>
          <w:rFonts w:ascii="Arial Unicode MS" w:cs="Arial Unicode MS" w:eastAsia="Arial Unicode MS" w:hAnsi="Arial Unicode MS"/>
          <w:rtl w:val="0"/>
        </w:rPr>
        <w:t xml:space="preserve">不可抗力リスクは、フロント金融機関が持つ堅牢な既存のコンプライアンス・免責スキームとAPIインテグレーションを行うことで、当社のリーガルリスクを完全にカプセル化しています。」</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kyynxrhpvmjx" w:id="4"/>
      <w:bookmarkEnd w:id="4"/>
      <w:r w:rsidDel="00000000" w:rsidR="00000000" w:rsidRPr="00000000">
        <w:rPr>
          <w:rFonts w:ascii="Arial Unicode MS" w:cs="Arial Unicode MS" w:eastAsia="Arial Unicode MS" w:hAnsi="Arial Unicode MS"/>
          <w:b w:val="1"/>
          <w:bCs w:val="1"/>
          <w:color w:val="000000"/>
          <w:sz w:val="22"/>
          <w:szCs w:val="22"/>
          <w:rtl w:val="0"/>
        </w:rPr>
        <w:t xml:space="preserve">4分〜5分：財務リターン（ROI）と決裁の要求</w:t>
      </w:r>
    </w:p>
    <w:p w:rsidR="00000000" w:rsidDel="00000000" w:rsidP="00000000" w:rsidRDefault="00000000" w:rsidRPr="00000000" w14:paraId="00000012">
      <w:pPr>
        <w:spacing w:after="240" w:lineRule="auto"/>
        <w:rPr/>
      </w:pPr>
      <w:r w:rsidDel="00000000" w:rsidR="00000000" w:rsidRPr="00000000">
        <w:rPr>
          <w:rFonts w:ascii="Arial Unicode MS" w:cs="Arial Unicode MS" w:eastAsia="Arial Unicode MS" w:hAnsi="Arial Unicode MS"/>
          <w:rtl w:val="0"/>
        </w:rPr>
        <w:t xml:space="preserve">「最後に数字の話です。 初期の開発・CapExはわずか5,000万円。年間の運用費は1,000万円です。これに対し、リプレースを狙う金融機関の年間インフラ利用料は、1社あたり2.4億〜6億円規模のストック収入です。</w:t>
      </w:r>
    </w:p>
    <w:p w:rsidR="00000000" w:rsidDel="00000000" w:rsidP="00000000" w:rsidRDefault="00000000" w:rsidRPr="00000000" w14:paraId="00000013">
      <w:pPr>
        <w:spacing w:after="240" w:lineRule="auto"/>
        <w:rPr/>
      </w:pPr>
      <w:r w:rsidDel="00000000" w:rsidR="00000000" w:rsidRPr="00000000">
        <w:rPr>
          <w:rFonts w:ascii="Arial Unicode MS" w:cs="Arial Unicode MS" w:eastAsia="Arial Unicode MS" w:hAnsi="Arial Unicode MS"/>
          <w:rtl w:val="0"/>
        </w:rPr>
        <w:t xml:space="preserve">つまり、ターゲット10社にこのシステムを無償で配り、うち『わずか1社』でもGCPへのリプレースに成功すれば、インフラ移行後たった3ヶ月で投資は完全回収、翌年からは莫大な黒字へと転換します。</w:t>
      </w:r>
    </w:p>
    <w:p w:rsidR="00000000" w:rsidDel="00000000" w:rsidP="00000000" w:rsidRDefault="00000000" w:rsidRPr="00000000" w14:paraId="00000014">
      <w:pPr>
        <w:spacing w:after="240" w:lineRule="auto"/>
        <w:rPr/>
      </w:pPr>
      <w:r w:rsidDel="00000000" w:rsidR="00000000" w:rsidRPr="00000000">
        <w:rPr>
          <w:rFonts w:ascii="Arial Unicode MS" w:cs="Arial Unicode MS" w:eastAsia="Arial Unicode MS" w:hAnsi="Arial Unicode MS"/>
          <w:rtl w:val="0"/>
        </w:rPr>
        <w:t xml:space="preserve">すでに承認後24時間以内に全営業へ配布する『NGワード・言い換えマニュアル』も整備を完了しており、現場のガバナンス統制も万全です。本日、この条件付き承認（Conditional Approval）を求めます。ご決裁のほど、よろしくお願いいたします。」</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