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7ta3firm8qdn" w:id="0"/>
      <w:bookmarkEnd w:id="0"/>
      <w:r w:rsidDel="00000000" w:rsidR="00000000" w:rsidRPr="00000000">
        <w:rPr>
          <w:rFonts w:ascii="Arial Unicode MS" w:cs="Arial Unicode MS" w:eastAsia="Arial Unicode MS" w:hAnsi="Arial Unicode MS"/>
          <w:b w:val="1"/>
          <w:bCs w:val="1"/>
          <w:sz w:val="46"/>
          <w:szCs w:val="46"/>
          <w:rtl w:val="0"/>
        </w:rPr>
        <w:t xml:space="preserve">19_営業活動におけるコンプライアンス遵守誓約書【最新アップデート版・仕様書v7.1準拠】</w:t>
      </w:r>
    </w:p>
    <w:p w:rsidR="00000000" w:rsidDel="00000000" w:rsidP="00000000" w:rsidRDefault="00000000" w:rsidRPr="00000000" w14:paraId="00000002">
      <w:pPr>
        <w:spacing w:after="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コンプライアンス遵守の誓約書テンプレート（完全防衛版）</w:t>
      </w:r>
    </w:p>
    <w:p w:rsidR="00000000" w:rsidDel="00000000" w:rsidP="00000000" w:rsidRDefault="00000000" w:rsidRPr="00000000" w14:paraId="00000003">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【社内秘 / 営業担当者用】</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本テンプレートは、営業部門（Sales/BizDev）が金融機関に『Generative Wealth Bridge（GWB）』を無料提供する際、独占禁止法（不当な取引制限・抱き合わせ販売）、反トラスト法、および金融商品取引法・税法に抵触することを防ぐため、営業活動の前に法務・コンプライアンス部門へ提出、または営業現場で厳守させるための誓約・ガイドラインである。</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wekdp2sfkqcv" w:id="1"/>
      <w:bookmarkEnd w:id="1"/>
      <w:r w:rsidDel="00000000" w:rsidR="00000000" w:rsidRPr="00000000">
        <w:rPr>
          <w:rFonts w:ascii="Arial Unicode MS" w:cs="Arial Unicode MS" w:eastAsia="Arial Unicode MS" w:hAnsi="Arial Unicode MS"/>
          <w:b w:val="1"/>
          <w:bCs w:val="1"/>
          <w:color w:val="000000"/>
          <w:sz w:val="26"/>
          <w:szCs w:val="26"/>
          <w:rtl w:val="0"/>
        </w:rPr>
        <w:t xml:space="preserve">クラウドインフラ奪取プロジェクト『GWB』営業活動におけるコンプライアンス遵守誓約書</w:t>
      </w:r>
    </w:p>
    <w:p w:rsidR="00000000" w:rsidDel="00000000" w:rsidP="00000000" w:rsidRDefault="00000000" w:rsidRPr="00000000" w14:paraId="00000006">
      <w:pPr>
        <w:pStyle w:val="Heading4"/>
        <w:keepNext w:val="0"/>
        <w:keepLines w:val="0"/>
        <w:spacing w:after="40" w:before="0" w:lineRule="auto"/>
        <w:rPr>
          <w:b w:val="1"/>
          <w:bCs w:val="1"/>
          <w:color w:val="000000"/>
          <w:sz w:val="22"/>
          <w:szCs w:val="22"/>
        </w:rPr>
      </w:pPr>
      <w:bookmarkStart w:colFirst="0" w:colLast="0" w:name="_u3nii84v4vcw" w:id="2"/>
      <w:bookmarkEnd w:id="2"/>
      <w:r w:rsidDel="00000000" w:rsidR="00000000" w:rsidRPr="00000000">
        <w:rPr>
          <w:rFonts w:ascii="Arial Unicode MS" w:cs="Arial Unicode MS" w:eastAsia="Arial Unicode MS" w:hAnsi="Arial Unicode MS"/>
          <w:b w:val="1"/>
          <w:bCs w:val="1"/>
          <w:color w:val="000000"/>
          <w:sz w:val="22"/>
          <w:szCs w:val="22"/>
          <w:rtl w:val="0"/>
        </w:rPr>
        <w:t xml:space="preserve">【趣旨】</w:t>
      </w:r>
    </w:p>
    <w:p w:rsidR="00000000" w:rsidDel="00000000" w:rsidP="00000000" w:rsidRDefault="00000000" w:rsidRPr="00000000" w14:paraId="00000007">
      <w:pPr>
        <w:spacing w:after="240" w:lineRule="auto"/>
        <w:rPr/>
      </w:pPr>
      <w:r w:rsidDel="00000000" w:rsidR="00000000" w:rsidRPr="00000000">
        <w:rPr>
          <w:rFonts w:ascii="Arial Unicode MS" w:cs="Arial Unicode MS" w:eastAsia="Arial Unicode MS" w:hAnsi="Arial Unicode MS"/>
          <w:rtl w:val="0"/>
        </w:rPr>
        <w:t xml:space="preserve">本プロジェクトは、無料プロダクト（GWB）をドアオープナーとして金融機関の経営陣にアプローチし、最終的に基幹システム（AWS/Azure）をGoogle Cloud（GCP）へ全面リプレースさせる「データの重力」戦略を採用している。 この際、営業担当者が口頭または書面で「違法な排他条件」を提示したり、システムの税務・法務ガードレールを歪める約束をした場合、国内外の法令に抵触し、巨額の課徴金およびプロジェクト全体の白紙化を招くリスクがある。よって、以下の4カ条を厳守することを誓約する。</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ljmcdcnp5lrl" w:id="3"/>
      <w:bookmarkEnd w:id="3"/>
      <w:r w:rsidDel="00000000" w:rsidR="00000000" w:rsidRPr="00000000">
        <w:rPr>
          <w:rFonts w:ascii="Arial Unicode MS" w:cs="Arial Unicode MS" w:eastAsia="Arial Unicode MS" w:hAnsi="Arial Unicode MS"/>
          <w:b w:val="1"/>
          <w:bCs w:val="1"/>
          <w:color w:val="000000"/>
          <w:sz w:val="22"/>
          <w:szCs w:val="22"/>
          <w:rtl w:val="0"/>
        </w:rPr>
        <w:t xml:space="preserve">第1条（抱き合わせ販売・排他条件付取引の絶対禁止）</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ターゲット金融機関（以下、顧客）に対し、GWBを無料提供する条件として、「現在契約している競合クラウド（AWS/Azure）の解約」や「将来的なGCPへの移行」を明文化された契約条件、または口頭での「必須要件」として提示してはならない。</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 推奨表現】</w:t>
      </w:r>
      <w:r w:rsidDel="00000000" w:rsidR="00000000" w:rsidRPr="00000000">
        <w:rPr>
          <w:rFonts w:ascii="Arial Unicode MS" w:cs="Arial Unicode MS" w:eastAsia="Arial Unicode MS" w:hAnsi="Arial Unicode MS"/>
          <w:rtl w:val="0"/>
        </w:rPr>
        <w:t xml:space="preserve">: 「本AIツールの性能（リアルタイムの口座属性別損益・米国株複雑税制・為替差益解析やデータ遅延のミリ秒単位での最小化）を100%発揮するための、技術的な推奨インフラがGCPとなっております。インフラの統合によるコスト最適化（Egress料金の削減）のご提案も、別途シミュレーション可能です」</w:t>
      </w:r>
    </w:p>
    <w:p w:rsidR="00000000" w:rsidDel="00000000" w:rsidP="00000000" w:rsidRDefault="00000000" w:rsidRPr="00000000" w14:paraId="0000000B">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 禁止される表現】</w:t>
      </w:r>
      <w:r w:rsidDel="00000000" w:rsidR="00000000" w:rsidRPr="00000000">
        <w:rPr>
          <w:rFonts w:ascii="Arial Unicode MS" w:cs="Arial Unicode MS" w:eastAsia="Arial Unicode MS" w:hAnsi="Arial Unicode MS"/>
          <w:rtl w:val="0"/>
        </w:rPr>
        <w:t xml:space="preserve">: 「GCPへの移行に関する覚書（MOU）を結んでいただけないと、このツールは提供できません」</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2nna7d8jh0e5" w:id="4"/>
      <w:bookmarkEnd w:id="4"/>
      <w:r w:rsidDel="00000000" w:rsidR="00000000" w:rsidRPr="00000000">
        <w:rPr>
          <w:rFonts w:ascii="Arial Unicode MS" w:cs="Arial Unicode MS" w:eastAsia="Arial Unicode MS" w:hAnsi="Arial Unicode MS"/>
          <w:b w:val="1"/>
          <w:bCs w:val="1"/>
          <w:color w:val="000000"/>
          <w:sz w:val="22"/>
          <w:szCs w:val="22"/>
          <w:rtl w:val="0"/>
        </w:rPr>
        <w:t xml:space="preserve">第2条（中立性プロトコルの仕様厳守と技術的合理性の徹底）</w:t>
      </w:r>
    </w:p>
    <w:p w:rsidR="00000000" w:rsidDel="00000000" w:rsidP="00000000" w:rsidRDefault="00000000" w:rsidRPr="00000000" w14:paraId="0000000D">
      <w:pPr>
        <w:spacing w:after="240" w:lineRule="auto"/>
        <w:rPr/>
      </w:pPr>
      <w:r w:rsidDel="00000000" w:rsidR="00000000" w:rsidRPr="00000000">
        <w:rPr>
          <w:rFonts w:ascii="Arial Unicode MS" w:cs="Arial Unicode MS" w:eastAsia="Arial Unicode MS" w:hAnsi="Arial Unicode MS"/>
          <w:rtl w:val="0"/>
        </w:rPr>
        <w:t xml:space="preserve">本システムは金融庁への提出計画に基づき、完全なる『中立・公平なシャッフルロジック（マルチ・ブローカー・プロトコル）』で動的に複数提示を行う構造である。よって、顧客からの要望であっても、特定の1社だけを常時固定表示するような個別のシステム改修や恣意的な順位操作に応じてはならない。 ただし、本システムはコアデータベースを当社のGCPに置いている金融機関ほど、環境跨ぎの通信が発生しないため「ミリ秒レベルの技術的遅延（レイテンシー）が極小化され、優れたUX（ユーザー体験）を提供する構造」となっている。営業活動においては、この「技術の質的向上に伴う正当な競争（技術的メリット）」を客観的事実として説明し、不当な優遇措置を疑われるような誤解を招く表現は一切行ってはならない。</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cbs7ltq4bnqp" w:id="5"/>
      <w:bookmarkEnd w:id="5"/>
      <w:r w:rsidDel="00000000" w:rsidR="00000000" w:rsidRPr="00000000">
        <w:rPr>
          <w:rFonts w:ascii="Arial Unicode MS" w:cs="Arial Unicode MS" w:eastAsia="Arial Unicode MS" w:hAnsi="Arial Unicode MS"/>
          <w:b w:val="1"/>
          <w:bCs w:val="1"/>
          <w:color w:val="000000"/>
          <w:sz w:val="22"/>
          <w:szCs w:val="22"/>
          <w:rtl w:val="0"/>
        </w:rPr>
        <w:t xml:space="preserve">第3条（データの重力による経済的説得の徹底）</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競合クラウドからのリプレース（クロージング）は、法的な強制力や契約上の縛りではなく、蓄積されたデータの「Egress料金（データ転送コスト）の爆発」および「マルチクラウド間連携によるAIのレイテンシー低下」という、純粋な経済的・技術的合理性（データの重力）のみをインサイトとして突く営業スタイルを徹底すること。</w:t>
      </w:r>
    </w:p>
    <w:p w:rsidR="00000000" w:rsidDel="00000000" w:rsidP="00000000" w:rsidRDefault="00000000" w:rsidRPr="00000000" w14:paraId="00000010">
      <w:pPr>
        <w:pStyle w:val="Heading4"/>
        <w:keepNext w:val="0"/>
        <w:keepLines w:val="0"/>
        <w:spacing w:after="40" w:before="0" w:lineRule="auto"/>
        <w:rPr>
          <w:b w:val="1"/>
          <w:bCs w:val="1"/>
          <w:color w:val="000000"/>
          <w:sz w:val="22"/>
          <w:szCs w:val="22"/>
        </w:rPr>
      </w:pPr>
      <w:bookmarkStart w:colFirst="0" w:colLast="0" w:name="_nif2qjtuvbaj" w:id="6"/>
      <w:bookmarkEnd w:id="6"/>
      <w:r w:rsidDel="00000000" w:rsidR="00000000" w:rsidRPr="00000000">
        <w:rPr>
          <w:rFonts w:ascii="Arial Unicode MS" w:cs="Arial Unicode MS" w:eastAsia="Arial Unicode MS" w:hAnsi="Arial Unicode MS"/>
          <w:b w:val="1"/>
          <w:bCs w:val="1"/>
          <w:color w:val="000000"/>
          <w:sz w:val="22"/>
          <w:szCs w:val="22"/>
          <w:rtl w:val="0"/>
        </w:rPr>
        <w:t xml:space="preserve">第4条（税務・口座属性・米国株税制・法務ガバナンスおよび判例対応の厳守【v7_1追加】）</w:t>
      </w:r>
    </w:p>
    <w:p w:rsidR="00000000" w:rsidDel="00000000" w:rsidP="00000000" w:rsidRDefault="00000000" w:rsidRPr="00000000" w14:paraId="00000011">
      <w:pPr>
        <w:spacing w:after="240" w:lineRule="auto"/>
        <w:rPr/>
      </w:pPr>
      <w:r w:rsidDel="00000000" w:rsidR="00000000" w:rsidRPr="00000000">
        <w:rPr>
          <w:rFonts w:ascii="Arial Unicode MS" w:cs="Arial Unicode MS" w:eastAsia="Arial Unicode MS" w:hAnsi="Arial Unicode MS"/>
          <w:rtl w:val="0"/>
        </w:rPr>
        <w:t xml:space="preserve">v7_1製品仕様書に基づき、システムレイヤーにハードコードされた以下の法務・税務ガードレールについて、顧客の要望による解除や改変を約束してはならない。</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口座属性自動識別・損益通算・将来課税増税ロジック</w:t>
      </w:r>
      <w:r w:rsidDel="00000000" w:rsidR="00000000" w:rsidRPr="00000000">
        <w:rPr>
          <w:rFonts w:ascii="Arial Unicode MS" w:cs="Arial Unicode MS" w:eastAsia="Arial Unicode MS" w:hAnsi="Arial Unicode MS"/>
          <w:rtl w:val="0"/>
        </w:rPr>
        <w:t xml:space="preserve">: NISA/特定/一般口座の自動判定、マルチ口座リアルタイム損益通算・繰越控除トラッキング、および将来30%課税ストレステスト機能の維持。</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米国株ウォッシュセール規制（30日ルール）＆日米税制差分補正ロジック</w:t>
      </w:r>
      <w:r w:rsidDel="00000000" w:rsidR="00000000" w:rsidRPr="00000000">
        <w:rPr>
          <w:rFonts w:ascii="Arial Unicode MS" w:cs="Arial Unicode MS" w:eastAsia="Arial Unicode MS" w:hAnsi="Arial Unicode MS"/>
          <w:rtl w:val="0"/>
        </w:rPr>
        <w:t xml:space="preserve">: 米国株の損出し等における規制抵触リスクの事前チェック、二重課税調整および日米税制差分自動補正機能の維持。</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マルチ税務絶対境界値ロック</w:t>
      </w:r>
      <w:r w:rsidDel="00000000" w:rsidR="00000000" w:rsidRPr="00000000">
        <w:rPr>
          <w:rFonts w:ascii="Arial Unicode MS" w:cs="Arial Unicode MS" w:eastAsia="Arial Unicode MS" w:hAnsi="Arial Unicode MS"/>
          <w:rtl w:val="0"/>
        </w:rPr>
        <w:t xml:space="preserve">: 110万円（暦年贈与）、60万円（特定非課税枠）、20万円（雑所得申告不要バウンダリ）の各自動ホールド・通知ロジックの遵守。</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最高裁判決対応・電子都度贈与機能</w:t>
      </w:r>
      <w:r w:rsidDel="00000000" w:rsidR="00000000" w:rsidRPr="00000000">
        <w:rPr>
          <w:rFonts w:ascii="Arial Unicode MS" w:cs="Arial Unicode MS" w:eastAsia="Arial Unicode MS" w:hAnsi="Arial Unicode MS"/>
          <w:rtl w:val="0"/>
        </w:rPr>
        <w:t xml:space="preserve">: 定期贈与認定リスクを排除するためのミリ秒タイムスタンプ付き電子都度贈与プロトコルの維持。</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為替差益自動計算・確定申告サポート連携</w:t>
      </w:r>
      <w:r w:rsidDel="00000000" w:rsidR="00000000" w:rsidRPr="00000000">
        <w:rPr>
          <w:rFonts w:ascii="Arial Unicode MS" w:cs="Arial Unicode MS" w:eastAsia="Arial Unicode MS" w:hAnsi="Arial Unicode MS"/>
          <w:rtl w:val="0"/>
        </w:rPr>
        <w:t xml:space="preserve">: ミリ秒単位での為替差益自動計算エンジンおよびワンクリック確定申告サポートデータ（PDF/CSV/XML）出力機能の客観的な説明。</w:t>
      </w:r>
    </w:p>
    <w:p w:rsidR="00000000" w:rsidDel="00000000" w:rsidP="00000000" w:rsidRDefault="00000000" w:rsidRPr="00000000" w14:paraId="00000017">
      <w:pPr>
        <w:spacing w:after="240" w:lineRule="auto"/>
        <w:rPr/>
      </w:pPr>
      <w:r w:rsidDel="00000000" w:rsidR="00000000" w:rsidRPr="00000000">
        <w:rPr>
          <w:rFonts w:ascii="Arial Unicode MS" w:cs="Arial Unicode MS" w:eastAsia="Arial Unicode MS" w:hAnsi="Arial Unicode MS"/>
          <w:rtl w:val="0"/>
        </w:rPr>
        <w:t xml:space="preserve">上記に違反した場合、プロジェクトの中止および社内規定に基づく厳重な処分を受けることに同意します。</w:t>
      </w:r>
    </w:p>
    <w:p w:rsidR="00000000" w:rsidDel="00000000" w:rsidP="00000000" w:rsidRDefault="00000000" w:rsidRPr="00000000" w14:paraId="00000018">
      <w:pPr>
        <w:spacing w:after="240" w:lineRule="auto"/>
        <w:rPr/>
      </w:pPr>
      <w:r w:rsidDel="00000000" w:rsidR="00000000" w:rsidRPr="00000000">
        <w:rPr>
          <w:rFonts w:ascii="Arial Unicode MS" w:cs="Arial Unicode MS" w:eastAsia="Arial Unicode MS" w:hAnsi="Arial Unicode MS"/>
          <w:b w:val="1"/>
          <w:bCs w:val="1"/>
          <w:rtl w:val="0"/>
        </w:rPr>
        <w:t xml:space="preserve">所属部門</w:t>
      </w:r>
      <w:r w:rsidDel="00000000" w:rsidR="00000000" w:rsidRPr="00000000">
        <w:rPr>
          <w:rtl w:val="0"/>
        </w:rPr>
        <w:t xml:space="preserve">:</w:t>
      </w:r>
    </w:p>
    <w:p w:rsidR="00000000" w:rsidDel="00000000" w:rsidP="00000000" w:rsidRDefault="00000000" w:rsidRPr="00000000" w14:paraId="00000019">
      <w:pPr>
        <w:spacing w:after="240" w:lineRule="auto"/>
        <w:rPr/>
      </w:pPr>
      <w:r w:rsidDel="00000000" w:rsidR="00000000" w:rsidRPr="00000000">
        <w:rPr>
          <w:rFonts w:ascii="Arial Unicode MS" w:cs="Arial Unicode MS" w:eastAsia="Arial Unicode MS" w:hAnsi="Arial Unicode MS"/>
          <w:b w:val="1"/>
          <w:bCs w:val="1"/>
          <w:rtl w:val="0"/>
        </w:rPr>
        <w:t xml:space="preserve">氏名（自署）</w:t>
      </w:r>
      <w:r w:rsidDel="00000000" w:rsidR="00000000" w:rsidRPr="00000000">
        <w:rPr>
          <w:rtl w:val="0"/>
        </w:rPr>
        <w:t xml:space="preserve">:</w:t>
      </w:r>
    </w:p>
    <w:p w:rsidR="00000000" w:rsidDel="00000000" w:rsidP="00000000" w:rsidRDefault="00000000" w:rsidRPr="00000000" w14:paraId="0000001A">
      <w:pPr>
        <w:spacing w:after="240" w:lineRule="auto"/>
        <w:rPr/>
      </w:pPr>
      <w:r w:rsidDel="00000000" w:rsidR="00000000" w:rsidRPr="00000000">
        <w:rPr>
          <w:rFonts w:ascii="Arial Unicode MS" w:cs="Arial Unicode MS" w:eastAsia="Arial Unicode MS" w:hAnsi="Arial Unicode MS"/>
          <w:b w:val="1"/>
          <w:bCs w:val="1"/>
          <w:rtl w:val="0"/>
        </w:rPr>
        <w:t xml:space="preserve">日付</w:t>
      </w:r>
      <w:r w:rsidDel="00000000" w:rsidR="00000000" w:rsidRPr="00000000">
        <w:rPr>
          <w:rFonts w:ascii="Arial Unicode MS" w:cs="Arial Unicode MS" w:eastAsia="Arial Unicode MS" w:hAnsi="Arial Unicode MS"/>
          <w:rtl w:val="0"/>
        </w:rPr>
        <w:t xml:space="preserve">: 2026年 ＿＿ 月 ＿＿ 日</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