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f8mplvfeeeqy" w:id="0"/>
      <w:bookmarkEnd w:id="0"/>
      <w:r w:rsidDel="00000000" w:rsidR="00000000" w:rsidRPr="00000000">
        <w:rPr>
          <w:rFonts w:ascii="Arial Unicode MS" w:cs="Arial Unicode MS" w:eastAsia="Arial Unicode MS" w:hAnsi="Arial Unicode MS"/>
          <w:b w:val="1"/>
          <w:bCs w:val="1"/>
          <w:sz w:val="46"/>
          <w:szCs w:val="46"/>
          <w:rtl w:val="0"/>
        </w:rPr>
        <w:t xml:space="preserve">20_CFO説得用サマリー文章【最新アップデート版・仕様書v7.1準拠】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CFO説得用サマリー文章（完全防衛版）</w:t>
      </w:r>
    </w:p>
    <w:p w:rsidR="00000000" w:rsidDel="00000000" w:rsidP="00000000" w:rsidRDefault="00000000" w:rsidRPr="00000000" w14:paraId="0000000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【経営決裁用】インフラ奪取型プロジェクト『GWB』投資回収サマリー</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起案部門</w:t>
      </w:r>
      <w:r w:rsidDel="00000000" w:rsidR="00000000" w:rsidRPr="00000000">
        <w:rPr>
          <w:rFonts w:ascii="Arial Unicode MS" w:cs="Arial Unicode MS" w:eastAsia="Arial Unicode MS" w:hAnsi="Arial Unicode MS"/>
          <w:rtl w:val="0"/>
        </w:rPr>
        <w:t xml:space="preserve">: ビジネス開発部（BizDev） / システムアーキテクチャ部門</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e66viybz9zj8"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投資の結論：単体PL「赤字」による、巨大インフラ「大黒字」の獲得</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本プロジェクト『Generative Wealth Bridge（GWB）』は、プロダクト単体の販売利益を追いません。金融機関に「ライセンス無料（利益率ゼロ）」で戦略的提供します。 初期開発費5,000万円および年間運用費1,000万円は、すべて「GCPインフラのリプレース（AWS/Azureからの奪取）」による月間数千万円規模（年間2.4億〜6億円）の新規ストック収入から逆算して「3ヶ月で回収」する超高リターン投資です。</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9qn0r1ywp8mu"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フリーミアムに踏み切る財務的・戦略的ロジック</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rtl w:val="0"/>
        </w:rPr>
        <w:t xml:space="preserve">競合（AWS/Azure）から金融機関の基幹インフラを奪うには、通常のB2B営業では数年のコンサル期間と膨大なコンペコストがかかります。 本企画は、金融機関のCEO/CFOが最も頭を悩ませている「次世代への資産流出（チャーン）」の解決策を「無料」で提示し、意思決定のハードルをゼロにして経営陣の懐に滑り込みます。 契約条件としてGCPの利用を義務付けるようなリーガルリスク（独占禁止法違反）は一切冒さず、他社接続を許容する『オープン・プラグイン・アーキテクチャ』を維持します。その上で、蓄積されたシミュレーションデータがもたらす『データの重力（Egress料金の爆発やミリ秒単位のマルチクラウド間通信遅延）』により、金融機関側が経済的・技術的合理性に基づいて自発的にGoogle Cloudへインフラを完全統合・リプレースせざるを得ない力学構造を成立させます。</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fj3b826znxou"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財務リスクヘッジ（コンプライアンス・税務・判例の担保）</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金融ビジネスで最も懸念されるハルシネーション（AIの嘘）による法的リスクおよび税務エラーによる財務リスクは、システムレイヤーにおいて物理的にカプセル化（隔離）されています。 金商法対策として個別銘柄の出力を遮断する『出力検閲フィルター』を実装するほか、税務面（v7_1最新仕様）では口座属性（NISA/特定/一般）の自動識別・リアルタイム損益通算、将来30%課税ストレステスト、およ</w:t>
      </w:r>
      <w:r w:rsidDel="00000000" w:rsidR="00000000" w:rsidRPr="00000000">
        <w:rPr>
          <w:rFonts w:ascii="Arial Unicode MS" w:cs="Arial Unicode MS" w:eastAsia="Arial Unicode MS" w:hAnsi="Arial Unicode MS"/>
          <w:rtl w:val="0"/>
        </w:rPr>
        <w:t xml:space="preserve">び米国株ウォッシュセール規制（30日ルール）事前判定＆日米税制差分補正ロジックを組み込んでいます。</w:t>
      </w:r>
      <w:r w:rsidDel="00000000" w:rsidR="00000000" w:rsidRPr="00000000">
        <w:rPr>
          <w:rFonts w:ascii="Arial Unicode MS" w:cs="Arial Unicode MS" w:eastAsia="Arial Unicode MS" w:hAnsi="Arial Unicode MS"/>
          <w:rtl w:val="0"/>
        </w:rPr>
        <w:t xml:space="preserve">さらに『110万円（暦年贈与）、60万円（特定非課税枠）、20万円（雑所得申告不要バウンダリ）』のマルチ税務絶対境界値をハードコードし、事前通知および自動ホールドを行う物理ロックを厳格に組み込んでいます。さらに最高裁判決（定期贈与認定リスク）対策としてミリ秒タイムスタンプ付き電子都度贈与プロトコルを実装し、ミリ秒単位での為替差益自動計算および確定申告サポートデータ（PDF/CSV/XML）ワンクリック出力機能を完備しました。 不可抗力リスクは、フロント金融機関の持つ堅牢な既存のコンプライアンス・免責スキームにAPIインテグレーション（統合）して外装化させるため、将来的な損害賠償や規制当局からのペナルティによる当社の財務リスクは実質的にゼロ化されています。</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txxkrkp2tevn" w:id="4"/>
      <w:bookmarkEnd w:id="4"/>
      <w:r w:rsidDel="00000000" w:rsidR="00000000" w:rsidRPr="00000000">
        <w:rPr>
          <w:rFonts w:ascii="Arial Unicode MS" w:cs="Arial Unicode MS" w:eastAsia="Arial Unicode MS" w:hAnsi="Arial Unicode MS"/>
          <w:b w:val="1"/>
          <w:bCs w:val="1"/>
          <w:color w:val="000000"/>
          <w:sz w:val="26"/>
          <w:szCs w:val="26"/>
          <w:rtl w:val="0"/>
        </w:rPr>
        <w:t xml:space="preserve">4. 投資対効果（ROI）期待値</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初期投資（CapEx）</w:t>
      </w:r>
      <w:r w:rsidDel="00000000" w:rsidR="00000000" w:rsidRPr="00000000">
        <w:rPr>
          <w:rFonts w:ascii="Arial Unicode MS" w:cs="Arial Unicode MS" w:eastAsia="Arial Unicode MS" w:hAnsi="Arial Unicode MS"/>
          <w:rtl w:val="0"/>
        </w:rPr>
        <w:t xml:space="preserve">: 5,000万円（既存GCPモジュールの流用により最小化）</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年間運用費</w:t>
      </w:r>
      <w:r w:rsidDel="00000000" w:rsidR="00000000" w:rsidRPr="00000000">
        <w:rPr>
          <w:rFonts w:ascii="Arial Unicode MS" w:cs="Arial Unicode MS" w:eastAsia="Arial Unicode MS" w:hAnsi="Arial Unicode MS"/>
          <w:rtl w:val="0"/>
        </w:rPr>
        <w:t xml:space="preserve">: 1,000万円</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1社あたり年間インフラ収入</w:t>
      </w:r>
      <w:r w:rsidDel="00000000" w:rsidR="00000000" w:rsidRPr="00000000">
        <w:rPr>
          <w:rFonts w:ascii="Arial Unicode MS" w:cs="Arial Unicode MS" w:eastAsia="Arial Unicode MS" w:hAnsi="Arial Unicode MS"/>
          <w:rtl w:val="0"/>
        </w:rPr>
        <w:t xml:space="preserve">: 2.4億円 〜 6.0億円（GCPへの完全リプレース成功時）</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損益分岐点（BEP）</w:t>
      </w:r>
      <w:r w:rsidDel="00000000" w:rsidR="00000000" w:rsidRPr="00000000">
        <w:rPr>
          <w:rFonts w:ascii="Arial Unicode MS" w:cs="Arial Unicode MS" w:eastAsia="Arial Unicode MS" w:hAnsi="Arial Unicode MS"/>
          <w:rtl w:val="0"/>
        </w:rPr>
        <w:t xml:space="preserve">: ターゲット金融機関10社中、「わずか1社」のリプレース成功でプロジェクト全体の全投資を回収し、大黒字へ転換。</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