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nxcgvlonzrw9" w:id="0"/>
      <w:bookmarkEnd w:id="0"/>
      <w:r w:rsidDel="00000000" w:rsidR="00000000" w:rsidRPr="00000000">
        <w:rPr>
          <w:rFonts w:ascii="Arial Unicode MS" w:cs="Arial Unicode MS" w:eastAsia="Arial Unicode MS" w:hAnsi="Arial Unicode MS"/>
          <w:b w:val="1"/>
          <w:bCs w:val="1"/>
          <w:rtl w:val="0"/>
        </w:rPr>
        <w:t xml:space="preserve">01_エグゼクティブサマリー（戦略的意義とビジネスモデル）：NTT金融ソリューション版【v6改訂版】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ff9qmmw5mzd"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プロジェクト概要</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本プロジェクトは、次世代への健全な資産・金融リテラシーの継承を目的とした、NTTグループの生成AI基盤（LLM「tsuzumi」/ AIソリューション「LITRON」）を活用した次世代資産承継プラットフォーム『Tsuzumi Wealth Bridge（TWB）』の事業開発・製品仕様書である。コンプライアンス（法務・税務・レギュラトリーリスク）の完全なカプセル化と、ユーザー（親子）のインセンティブ最適ルーティングを基本設計思想とする。</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少子高齢化が進む日本国内において、高齢者層に偏在する膨大な個人金融資産をいかに次世代（子・孫世代）へ安全かつ生産的に還流させるかという極めて重要な国策・社会課題（NISA拡大、金融経済教育義務化）を捉え、単なる技術検証（PoC）に留まらない、即時マネタイズとNTTグループのインフラ獲得に直結する次世代金融インフラとして機能する。</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国内すべての証券口座区分（一般・特定・NISA・こどもNISA）に完全対応し、損益通算・3年間の繰越控除自動試算、最高裁判例を踏まえた為替差益（雑所得）算定、米国ウォッシュセール規制追跡に加え、金融所得課税強化に伴う最低30%の所得税（ミニマムタックス）等の税制改正動向を自動検知・対策シミュレーションする高度な税務ガバナンス機能を標準搭載し、個人投資家の税務管理負担をゼロ化する。</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jgyeo3w590"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国内展開ロードマップ＆初動戦略</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システムとしての「安全・安心なデータガバナンス」と「純国産技術による信頼性」を最優先し、国内市場（ネット証券・金融庁・メガバンク）へ最適化したアプローチを採用する。</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Phase 1: 初期エンゲージメント構築（イベント用フロントエンド）</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ターゲット:</w:t>
      </w:r>
      <w:r w:rsidDel="00000000" w:rsidR="00000000" w:rsidRPr="00000000">
        <w:rPr>
          <w:rFonts w:ascii="Arial Unicode MS" w:cs="Arial Unicode MS" w:eastAsia="Arial Unicode MS" w:hAnsi="Arial Unicode MS"/>
          <w:rtl w:val="0"/>
        </w:rPr>
        <w:t xml:space="preserve"> 金融庁・教育機関、国内ネット証券、メガバンク・信託銀行</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オンライン/リアルイベント仕様を柔軟に切り替えるデプロイ要件により分母を最大化し、「お小遣いタイムトラベル・シミュレータ」や「価値観のギャップ可視化」を用いて顧客の関心とログをシームレスに獲得する。初期解析はエッジ側で行い、確度の高いログのみをバックエンドへ非同期リレーする。ショートURL付き即時口座バリデーションにより、非課税枠（110万円/60万円）およびマルチ口座・為替差益自動管理の初期設定を引き継いだままスムーズに口座開設動線へ接続する。</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Phase 2: メインインフラ展開（基幹組込みシステム）</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ターゲット:</w:t>
      </w:r>
      <w:r w:rsidDel="00000000" w:rsidR="00000000" w:rsidRPr="00000000">
        <w:rPr>
          <w:rFonts w:ascii="Arial Unicode MS" w:cs="Arial Unicode MS" w:eastAsia="Arial Unicode MS" w:hAnsi="Arial Unicode MS"/>
          <w:rtl w:val="0"/>
        </w:rPr>
        <w:t xml:space="preserve"> 国内主要金融機関の常設基幹システム</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目的:</w:t>
      </w:r>
      <w:r w:rsidDel="00000000" w:rsidR="00000000" w:rsidRPr="00000000">
        <w:rPr>
          <w:rFonts w:ascii="Arial Unicode MS" w:cs="Arial Unicode MS" w:eastAsia="Arial Unicode MS" w:hAnsi="Arial Unicode MS"/>
          <w:rtl w:val="0"/>
        </w:rPr>
        <w:t xml:space="preserve"> イベントで獲得したログや金融機関の顧客データを引き継ぎ、長期的なリテンション（顧客維持）を実現する。子供の成長に合わせた「ライフステージ連動型権限移行（パーミッション・ライフサイクル）」を組み込み、口座区分の自動制御、外貨資産・損益通算・ミニマムタックス影響分析のリアルタイム計算パイプライン等を経て、最終的に実口座のリーガルデータへと安全に昇格させる。</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tq7lbwe3z7f"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ビジネスモデル＆NTTグループインフラ戦略</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AIのコモディティ化に伴い、顧客（金融機関）が最も重視する「投資対効果（ROI）」を最大化させ、同時にNTTグループ全体の社会課題解決の理念を体現するため、インフラレイヤーと連携した2軸のマネタイズ戦略を展開する。</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emuxyam9ezhc"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① 独立型商品化モデル（パッケージ・SaaS型運用保守）</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本システムを金融機関向けSaaSパッケージ、またはオンプレミス型AIソリューションとして提供する。小型軽量な「tsuzumi」の特性を活かした低消費電力・低運用コストを強みとし、ライセンスおよび年間保守料モデルで手堅いマージンを設定する。</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全証券口座区分・自動税務ルーティング:</w:t>
      </w:r>
      <w:r w:rsidDel="00000000" w:rsidR="00000000" w:rsidRPr="00000000">
        <w:rPr>
          <w:rFonts w:ascii="Arial Unicode MS" w:cs="Arial Unicode MS" w:eastAsia="Arial Unicode MS" w:hAnsi="Arial Unicode MS"/>
          <w:rtl w:val="0"/>
        </w:rPr>
        <w:t xml:space="preserve"> 一般口座、特定口座（源泉あり/なし）、新NISA（つみたて/成長）、こどもNISAの最適管理。</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損益通算＆3年間繰越控除計算エンジン:</w:t>
      </w:r>
      <w:r w:rsidDel="00000000" w:rsidR="00000000" w:rsidRPr="00000000">
        <w:rPr>
          <w:rFonts w:ascii="Arial Unicode MS" w:cs="Arial Unicode MS" w:eastAsia="Arial Unicode MS" w:hAnsi="Arial Unicode MS"/>
          <w:rtl w:val="0"/>
        </w:rPr>
        <w:t xml:space="preserve"> 複数口座間の損益集計と、確定申告による節税メリットの自動試算・資料作成。</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ミニマムタックス（最低30%課税強化）対策モジュール:</w:t>
      </w:r>
      <w:r w:rsidDel="00000000" w:rsidR="00000000" w:rsidRPr="00000000">
        <w:rPr>
          <w:rFonts w:ascii="Arial Unicode MS" w:cs="Arial Unicode MS" w:eastAsia="Arial Unicode MS" w:hAnsi="Arial Unicode MS"/>
          <w:rtl w:val="0"/>
        </w:rPr>
        <w:t xml:space="preserve"> 税制改正動向を監視し、富裕層・高額所得者の境界値検知および対策シミュレーションを出力。</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米国ウォッシュセール＆為替差益自動計算:</w:t>
      </w:r>
      <w:r w:rsidDel="00000000" w:rsidR="00000000" w:rsidRPr="00000000">
        <w:rPr>
          <w:rFonts w:ascii="Arial Unicode MS" w:cs="Arial Unicode MS" w:eastAsia="Arial Unicode MS" w:hAnsi="Arial Unicode MS"/>
          <w:rtl w:val="0"/>
        </w:rPr>
        <w:t xml:space="preserve"> 売買前後61日間の追跡、損失否認回避スワップ提案、移動平均法／総平均法による為替差益のミリ秒算定。</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税務境界値ハードロック＆こどもNISA制限フィルタ:</w:t>
      </w:r>
      <w:r w:rsidDel="00000000" w:rsidR="00000000" w:rsidRPr="00000000">
        <w:rPr>
          <w:rFonts w:ascii="Arial Unicode MS" w:cs="Arial Unicode MS" w:eastAsia="Arial Unicode MS" w:hAnsi="Arial Unicode MS"/>
          <w:rtl w:val="0"/>
        </w:rPr>
        <w:t xml:space="preserve"> 「110万円/60万円」の境界値監視、こどもNISA成長投資枠の物理遮断。</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スマート電子贈与ワークフロー:</w:t>
      </w:r>
      <w:r w:rsidDel="00000000" w:rsidR="00000000" w:rsidRPr="00000000">
        <w:rPr>
          <w:rFonts w:ascii="Arial Unicode MS" w:cs="Arial Unicode MS" w:eastAsia="Arial Unicode MS" w:hAnsi="Arial Unicode MS"/>
          <w:rtl w:val="0"/>
        </w:rPr>
        <w:t xml:space="preserve"> 都度贈与合意書の自動生成・タイムスタンプ付与、ゆらぎ制御、目的別タグ付けによる税務リスク（名義預金・定期贈与判定）の物理的回避。</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金商法対応ハード・ガードレール:</w:t>
      </w:r>
      <w:r w:rsidDel="00000000" w:rsidR="00000000" w:rsidRPr="00000000">
        <w:rPr>
          <w:rFonts w:ascii="Arial Unicode MS" w:cs="Arial Unicode MS" w:eastAsia="Arial Unicode MS" w:hAnsi="Arial Unicode MS"/>
          <w:rtl w:val="0"/>
        </w:rPr>
        <w:t xml:space="preserve"> 特定個別銘柄の推奨や断定的利益の約束を物理的に排除する出力検閲ロックの運用保守を内包し、継続的なリカーリングレピニュー（ストック収入）を担保する。</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lyl0i1zdhep9"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② コアインフラ統合提案への戦略的活用（NTTインフラリプレースのドアオープナー仕様）</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金融機関の基幹データ・取引システムを、NTTグループが提供する高セキュリティなソリューションや次世代情報通信基盤（IOWN等）へ移行・統合させる大規模インフラ契約（リプレース）を主目的とする場合、本システムのライセンス利益率を最適化（戦略的低価格または無償提供化）する。</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金融機関の経営層に対し、コンプライアンス・マルチ口座税務管理・損益通算・ミニマムタックス対策・ウォッシュセール制御・スマート電子贈与ワークフローを物理ロックした純国産AIソリューションをフロントドア（投資価値の可視化ツール）として提示することで、蓄積されたデータが持つ「データの重力（Data Gravity）」をレバレッジとし、競合インフラからの大規模な包括リプレースを勝ち取る強力な推進力とする。</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