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2h9cxx3r4e6v" w:id="0"/>
      <w:bookmarkEnd w:id="0"/>
      <w:r w:rsidDel="00000000" w:rsidR="00000000" w:rsidRPr="00000000">
        <w:rPr>
          <w:rFonts w:ascii="Arial Unicode MS" w:cs="Arial Unicode MS" w:eastAsia="Arial Unicode MS" w:hAnsi="Arial Unicode MS"/>
          <w:b w:val="1"/>
          <w:bCs w:val="1"/>
          <w:rtl w:val="0"/>
        </w:rPr>
        <w:t xml:space="preserve">02_コンプライアンス＆リスク管理解説書（NTTソリューション・ガバナンス仕様）【v6改訂版】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k237o7r7vtdc"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共通コア・アルゴリズムにおけるリスク排除</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入力層（子・外部環境）</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抽象的な投資データは一切排除し、日々の「お小遣い」におけるトレードオフ（流動性と機会損失の選択ログ）のみを定性入力として受け付けます。</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NTTデータの生成AIソリューション「LITRON（LITRON CORE）」の高精度なテキスト解析を活用し、エッジ側で軽量なデータ整備およびクローリングを行うことで、セキュアかつ低遅延なデータ処理を実現します。</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官報、金融庁発表、税制改正大綱、税務最高裁判例、米SEC/IRS発表等のレギュラトリー・データソースをクローリングするパイプラインを常時保持します。</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「逆張り」等の初心者向けハイリスク行動（エラー）を、システムのハードコードおよびNTT版軽量LLM「tsuzumi」の高度な推論ロジックによって物理的に排除します。</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子どものマイクロな生活ログから「選択の揺らぎ・堅実性」を解析し、親への実行シグナル（資産承継・シミュレーション提案）へと1ウェイでルーティングします。</w:t>
      </w:r>
    </w:p>
    <w:p w:rsidR="00000000" w:rsidDel="00000000" w:rsidP="00000000" w:rsidRDefault="00000000" w:rsidRPr="00000000" w14:paraId="0000000A">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外部データから「ミニマムタックス等の税制改正・最高裁判決等による課税変更・リスク因子」をリアルタイムで検知・プロファイリングします。</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z16m1do7tznx"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リーガル＆タックス・ゲートウェイ（コンプライアンスのカプセル化 &amp; 各種税務対応）</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金融商品取引法等にまつわる法的責任は、フロントに立つパートナー金融機関の既存の免責・コンプライアンスレイヤーに完全に準拠させます。</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純国産LLM「tsuzumi」のアウトプット層に「特定個別銘柄の推奨」や「断定的利益の約束」を吐き出させないための「物理的なハード・ガードレール（出力検閲ロック）」を実装し、確実なガバナンスを担保します。</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国内証券口座区分（一般・特定・NISA）別・自動税務ルーティング</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一般口座:</w:t>
      </w:r>
      <w:r w:rsidDel="00000000" w:rsidR="00000000" w:rsidRPr="00000000">
        <w:rPr>
          <w:rFonts w:ascii="Arial Unicode MS" w:cs="Arial Unicode MS" w:eastAsia="Arial Unicode MS" w:hAnsi="Arial Unicode MS"/>
          <w:rtl w:val="0"/>
        </w:rPr>
        <w:t xml:space="preserve"> 売買損益・配当データを保持し、確定申告に必要な集計データを自動生成。</w:t>
      </w:r>
    </w:p>
    <w:p w:rsidR="00000000" w:rsidDel="00000000" w:rsidP="00000000" w:rsidRDefault="00000000" w:rsidRPr="00000000" w14:paraId="00000011">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特定口座（源泉徴収あり）:</w:t>
      </w:r>
      <w:r w:rsidDel="00000000" w:rsidR="00000000" w:rsidRPr="00000000">
        <w:rPr>
          <w:rFonts w:ascii="Arial Unicode MS" w:cs="Arial Unicode MS" w:eastAsia="Arial Unicode MS" w:hAnsi="Arial Unicode MS"/>
          <w:rtl w:val="0"/>
        </w:rPr>
        <w:t xml:space="preserve"> 証券会社側での自動源泉徴収ログを同期。他口座との損益通算が必要な場合のみ確定申告アラートを出力。</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特定口座（源泉徴収なし）:</w:t>
      </w:r>
      <w:r w:rsidDel="00000000" w:rsidR="00000000" w:rsidRPr="00000000">
        <w:rPr>
          <w:rFonts w:ascii="Arial Unicode MS" w:cs="Arial Unicode MS" w:eastAsia="Arial Unicode MS" w:hAnsi="Arial Unicode MS"/>
          <w:rtl w:val="0"/>
        </w:rPr>
        <w:t xml:space="preserve"> 年間利益が20万円を超過する見込みとなった段階で事前に申告アラートと簡易集計データを生成。</w:t>
      </w:r>
    </w:p>
    <w:p w:rsidR="00000000" w:rsidDel="00000000" w:rsidP="00000000" w:rsidRDefault="00000000" w:rsidRPr="00000000" w14:paraId="00000013">
      <w:pPr>
        <w:numPr>
          <w:ilvl w:val="1"/>
          <w:numId w:val="3"/>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新NISA（つみたて／成長）:</w:t>
      </w:r>
      <w:r w:rsidDel="00000000" w:rsidR="00000000" w:rsidRPr="00000000">
        <w:rPr>
          <w:rFonts w:ascii="Arial Unicode MS" w:cs="Arial Unicode MS" w:eastAsia="Arial Unicode MS" w:hAnsi="Arial Unicode MS"/>
          <w:rtl w:val="0"/>
        </w:rPr>
        <w:t xml:space="preserve"> 非課税枠の正確な管理と、「成長投資枠」へのアクセス権限制御を実施。</w:t>
      </w:r>
    </w:p>
    <w:p w:rsidR="00000000" w:rsidDel="00000000" w:rsidP="00000000" w:rsidRDefault="00000000" w:rsidRPr="00000000" w14:paraId="00000014">
      <w:pPr>
        <w:spacing w:after="240" w:lineRule="auto"/>
        <w:ind w:left="1440" w:firstLine="0"/>
        <w:rPr/>
      </w:pPr>
      <w:r w:rsidDel="00000000" w:rsidR="00000000" w:rsidRPr="00000000">
        <w:rPr>
          <w:rtl w:val="0"/>
        </w:rPr>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こどもNISA・つみたて投資枠ハードロック（成長投資枠の物理遮断）</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未成年を対象とした「こどもNISA」制度において、個別株やアクティブファンド等の「成長投資枠」に該当する金融商品の選択動線および発注シグナルをシステム上のハードコードで完全遮断します。</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長期・積立・分散投資に適した公募投資信託等（つみたて投資対象）のみに選択肢を限定し、誤発注や制度違反リスクを根本から排除します。</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損益通算＆3年間繰越控除・自動計算モジュール</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複数口座（一般・特定）に跨がる売買損益および配当金をLITRON COREでリアルタイム集計。損失発生時には「翌年以降3年間の繰越控除」適用時の税額軽減効果をシミュレーションし、申告用サポート書類を自動出力します。</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ミニマムタックス（最低30%課税強化等）動向検知＆対策シミュレータ</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富裕層向け金融所得課税強化（最低税率30%のミニマムタックス導入等）の税制改正動きを常時監視。ユーザーの総所得・金融所得が閾値に接近した際、NISA枠活用や資産配置・贈与時期調整などの最適化提案を自動生成します。</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米株ウォッシュセール（Wash-Sale Rule）自動検知＆Tax-Loss Harvesting</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米国株・ファンド取引において売買前後30日間（計61日間）の同一・同種銘柄取引をミリ秒単位で追跡。損益通算否認リスクを警告し、同等指数・類似ETFへの自動スワップ（Tax-Loss Harvesting）を提示します。</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税務境界値（年間110万円 / こどもNISA枠60万円）のハードロック</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暦年贈与の基礎控除額（年間110万円）」および「こどもNISA年間非課税枠（年間60万円）」をシステム上の絶対的バウンダリ（境界値）として設定し、超過トランザクションを自動ホールド・専門動線へ誘導します。</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r>
    </w:p>
    <w:p w:rsidR="00000000" w:rsidDel="00000000" w:rsidP="00000000" w:rsidRDefault="00000000" w:rsidRPr="00000000" w14:paraId="00000021">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外貨資産の売却・スワップ時に生じる為替差益（雑所得）を移動平均法／総平均法で算定し、確定申告ライン（20万円）接近時に事前にアラートを出力します。</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s5dv6oeve444" w:id="3"/>
      <w:bookmarkEnd w:id="3"/>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zdpfm4vlk6e0" w:id="4"/>
      <w:bookmarkEnd w:id="4"/>
      <w:r w:rsidDel="00000000" w:rsidR="00000000" w:rsidRPr="00000000">
        <w:rPr>
          <w:rFonts w:ascii="Arial Unicode MS" w:cs="Arial Unicode MS" w:eastAsia="Arial Unicode MS" w:hAnsi="Arial Unicode MS"/>
          <w:b w:val="1"/>
          <w:bCs w:val="1"/>
          <w:color w:val="000000"/>
          <w:sz w:val="26"/>
          <w:szCs w:val="26"/>
          <w:rtl w:val="0"/>
        </w:rPr>
        <w:t xml:space="preserve">3. スマート電子都度贈与・定期贈与判定回避ワークフロー</w:t>
      </w:r>
    </w:p>
    <w:p w:rsidR="00000000" w:rsidDel="00000000" w:rsidP="00000000" w:rsidRDefault="00000000" w:rsidRPr="00000000" w14:paraId="00000024">
      <w:pPr>
        <w:spacing w:after="240" w:lineRule="auto"/>
        <w:rPr/>
      </w:pPr>
      <w:r w:rsidDel="00000000" w:rsidR="00000000" w:rsidRPr="00000000">
        <w:rPr>
          <w:rFonts w:ascii="Arial Unicode MS" w:cs="Arial Unicode MS" w:eastAsia="Arial Unicode MS" w:hAnsi="Arial Unicode MS"/>
          <w:rtl w:val="0"/>
        </w:rPr>
        <w:t xml:space="preserve">親子間贈与において税務上問題となりやすい「定期贈与（一括課税リスク）」および「名義預金認定」を物理的に回避するため、LITRONおよびtsuzumiのバックエンドで以下の自動制御を実行します。</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500"/>
        <w:gridCol w:w="2610"/>
        <w:tblGridChange w:id="0">
          <w:tblGrid>
            <w:gridCol w:w="1680"/>
            <w:gridCol w:w="4500"/>
            <w:gridCol w:w="26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Fonts w:ascii="Arial Unicode MS" w:cs="Arial Unicode MS" w:eastAsia="Arial Unicode MS" w:hAnsi="Arial Unicode MS"/>
                <w:b w:val="1"/>
                <w:bCs w:val="1"/>
                <w:rtl w:val="0"/>
              </w:rPr>
              <w:t xml:space="preserve">機能モジュール</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b w:val="1"/>
                <w:bCs w:val="1"/>
                <w:rtl w:val="0"/>
              </w:rPr>
              <w:t xml:space="preserve">処理内容</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b w:val="1"/>
                <w:bCs w:val="1"/>
                <w:rtl w:val="0"/>
              </w:rPr>
              <w:t xml:space="preserve">提供する法的・税務的エビデンス</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Fonts w:ascii="Arial Unicode MS" w:cs="Arial Unicode MS" w:eastAsia="Arial Unicode MS" w:hAnsi="Arial Unicode MS"/>
                <w:b w:val="1"/>
                <w:bCs w:val="1"/>
                <w:rtl w:val="0"/>
              </w:rPr>
              <w:t xml:space="preserve">スマート電子贈与契約・タイムスタンプ</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Fonts w:ascii="Arial Unicode MS" w:cs="Arial Unicode MS" w:eastAsia="Arial Unicode MS" w:hAnsi="Arial Unicode MS"/>
                <w:rtl w:val="0"/>
              </w:rPr>
              <w:t xml:space="preserve">親コンソールでの資金移動指示時に、暗号化電子署名とタイムスタンプが付与された「都度贈与合意書データ」をLITRONで即時自動生成・保存。</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Fonts w:ascii="Arial Unicode MS" w:cs="Arial Unicode MS" w:eastAsia="Arial Unicode MS" w:hAnsi="Arial Unicode MS"/>
                <w:rtl w:val="0"/>
              </w:rPr>
              <w:t xml:space="preserve">税務調査時に提出可能な「都度合意に基づく贈与」の客観的証拠。</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Fonts w:ascii="Arial Unicode MS" w:cs="Arial Unicode MS" w:eastAsia="Arial Unicode MS" w:hAnsi="Arial Unicode MS"/>
                <w:b w:val="1"/>
                <w:bCs w:val="1"/>
                <w:rtl w:val="0"/>
              </w:rPr>
              <w:t xml:space="preserve">贈与実行パルス（ゆらぎ制御）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毎月同額・同日の定期送金ではなく、子供の学習ログ・お手伝い実績等に連動させて金額および実行時期に動的な「ゆらぎ（変調）」を加えて処理。</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Fonts w:ascii="Arial Unicode MS" w:cs="Arial Unicode MS" w:eastAsia="Arial Unicode MS" w:hAnsi="Arial Unicode MS"/>
                <w:rtl w:val="0"/>
              </w:rPr>
              <w:t xml:space="preserve">「あらかじめ定められた定期金給付契約」との判定を物理的に回避。</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Fonts w:ascii="Arial Unicode MS" w:cs="Arial Unicode MS" w:eastAsia="Arial Unicode MS" w:hAnsi="Arial Unicode MS"/>
                <w:b w:val="1"/>
                <w:bCs w:val="1"/>
                <w:rtl w:val="0"/>
              </w:rPr>
              <w:t xml:space="preserve">目的別マルチカテゴリタグ付け</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Fonts w:ascii="Arial Unicode MS" w:cs="Arial Unicode MS" w:eastAsia="Arial Unicode MS" w:hAnsi="Arial Unicode MS"/>
                <w:rtl w:val="0"/>
              </w:rPr>
              <w:t xml:space="preserve">親からの資金投入ログに対し、「お小遣い対価」「金融教材資材費」「自立支援暦年贈与」の属性タグをtsuzumiが自動付与しメタデータ化。</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Fonts w:ascii="Arial Unicode MS" w:cs="Arial Unicode MS" w:eastAsia="Arial Unicode MS" w:hAnsi="Arial Unicode MS"/>
                <w:rtl w:val="0"/>
              </w:rPr>
              <w:t xml:space="preserve">社会通念上高額とみなされやすいお小遣い名目に対し、明確な使途分類を立証。</w:t>
            </w:r>
          </w:p>
        </w:tc>
      </w:tr>
    </w:tbl>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tq2gd653ihao" w:id="5"/>
      <w:bookmarkEnd w:id="5"/>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d2yigt7r53nt" w:id="6"/>
      <w:bookmarkEnd w:id="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etwx24psvrnf" w:id="7"/>
      <w:bookmarkEnd w:id="7"/>
      <w:r w:rsidDel="00000000" w:rsidR="00000000" w:rsidRPr="00000000">
        <w:rPr>
          <w:rFonts w:ascii="Arial Unicode MS" w:cs="Arial Unicode MS" w:eastAsia="Arial Unicode MS" w:hAnsi="Arial Unicode MS"/>
          <w:b w:val="1"/>
          <w:bCs w:val="1"/>
          <w:color w:val="000000"/>
          <w:sz w:val="26"/>
          <w:szCs w:val="26"/>
          <w:rtl w:val="0"/>
        </w:rPr>
        <w:t xml:space="preserve">4. セミオート・レギュラトリー・ゲートウェイ＆ガバナンス・コンソール</w:t>
      </w:r>
    </w:p>
    <w:p w:rsidR="00000000" w:rsidDel="00000000" w:rsidP="00000000" w:rsidRDefault="00000000" w:rsidRPr="00000000" w14:paraId="00000034">
      <w:pPr>
        <w:spacing w:after="240" w:lineRule="auto"/>
        <w:rPr/>
      </w:pPr>
      <w:r w:rsidDel="00000000" w:rsidR="00000000" w:rsidRPr="00000000">
        <w:rPr>
          <w:rFonts w:ascii="Arial Unicode MS" w:cs="Arial Unicode MS" w:eastAsia="Arial Unicode MS" w:hAnsi="Arial Unicode MS"/>
          <w:rtl w:val="0"/>
        </w:rPr>
        <w:t xml:space="preserve">地政学リスク、国際的な経済制裁、行政指導による業務停止命令、特定の銘柄の上場廃止や急激なマーケットクラッシュ、</w:t>
      </w:r>
      <w:r w:rsidDel="00000000" w:rsidR="00000000" w:rsidRPr="00000000">
        <w:rPr>
          <w:rFonts w:ascii="Arial Unicode MS" w:cs="Arial Unicode MS" w:eastAsia="Arial Unicode MS" w:hAnsi="Arial Unicode MS"/>
          <w:rtl w:val="0"/>
        </w:rPr>
        <w:t xml:space="preserve">最高裁判決・税制変更（ミニマムタックス導入等）に伴う課税ガイドラインの突然の改定</w:t>
      </w:r>
      <w:r w:rsidDel="00000000" w:rsidR="00000000" w:rsidRPr="00000000">
        <w:rPr>
          <w:rFonts w:ascii="Arial Unicode MS" w:cs="Arial Unicode MS" w:eastAsia="Arial Unicode MS" w:hAnsi="Arial Unicode MS"/>
          <w:rtl w:val="0"/>
        </w:rPr>
        <w:t xml:space="preserve">等に対し、AIの完全自動判断による誤作動リスクを防ぐため、人間の目を介した「セミオート・ワークフロー」を確立します。</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コンプライアンス・エスカレーション・ゲート（2レイヤー・ホールド）</w:t>
      </w:r>
    </w:p>
    <w:p w:rsidR="00000000" w:rsidDel="00000000" w:rsidP="00000000" w:rsidRDefault="00000000" w:rsidRPr="00000000" w14:paraId="00000036">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バックエンドにおいて「tsuzumi」と「LITRON CORE」がリスク情報を検知した場合、マルチエージェント基盤「LITRON MAS」が親子間の承認プロセスや取引シミュレーション動線を一時的に自動ホールドします。</w:t>
      </w:r>
    </w:p>
    <w:p w:rsidR="00000000" w:rsidDel="00000000" w:rsidP="00000000" w:rsidRDefault="00000000" w:rsidRPr="00000000" w14:paraId="00000037">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対象金融機関の審査・コンプライアンス部門へログをセミオートでエスカレーションし、責任者による「手動承認（Human-in-the-Loop）」を必須とする構造（免責構造の保持）とします。</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リスクコントロール・スイッチ</w:t>
      </w:r>
    </w:p>
    <w:p w:rsidR="00000000" w:rsidDel="00000000" w:rsidP="00000000" w:rsidRDefault="00000000" w:rsidRPr="00000000" w14:paraId="00000039">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機関のコンプライアンス担当者がカテゴリ別（経済制裁・業務停止命令・上場廃止・最高裁判例・ミニマムタックス等の税制改定）のチェックボックスをON/OFFすることで、リスクアラートの適用・非適用を一括マニュアル制御できるガバナンスコンソールを提供します。</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イベント期間のセミオート管理</w:t>
      </w:r>
    </w:p>
    <w:p w:rsidR="00000000" w:rsidDel="00000000" w:rsidP="00000000" w:rsidRDefault="00000000" w:rsidRPr="00000000" w14:paraId="0000003B">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各リスクイベントに対し「開始日時」および「終了日時」を設定可能とします。終了日時が未定の場合は「未定フラグ（無限継続処理）」を選択可能とし、規制解除時にコンプライアンス担当者が手動で終了日時を確定させる柔軟な運用を行います。</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