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pqovyoksrqk4" w:id="0"/>
      <w:bookmarkEnd w:id="0"/>
      <w:r w:rsidDel="00000000" w:rsidR="00000000" w:rsidRPr="00000000">
        <w:rPr>
          <w:rFonts w:ascii="Arial Unicode MS" w:cs="Arial Unicode MS" w:eastAsia="Arial Unicode MS" w:hAnsi="Arial Unicode MS"/>
          <w:b w:val="1"/>
          <w:bCs w:val="1"/>
          <w:rtl w:val="0"/>
        </w:rPr>
        <w:t xml:space="preserve">03_対ターゲット別バリュープロポジション比較表（NTTソリューション最適化版）【v6改訂版】</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4wvlm8r27j0" w:id="1"/>
      <w:bookmarkEnd w:id="1"/>
      <w:r w:rsidDel="00000000" w:rsidR="00000000" w:rsidRPr="00000000">
        <w:rPr>
          <w:rFonts w:ascii="Arial Unicode MS" w:cs="Arial Unicode MS" w:eastAsia="Arial Unicode MS" w:hAnsi="Arial Unicode MS"/>
          <w:b w:val="1"/>
          <w:bCs w:val="1"/>
          <w:color w:val="000000"/>
          <w:sz w:val="26"/>
          <w:szCs w:val="26"/>
          <w:rtl w:val="0"/>
        </w:rPr>
        <w:t xml:space="preserve">■ 金融庁（FSA）・教育機関</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特有の課題 / 経営課題</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高等学校における「金融経済教育」の義務化に伴い、教育現場における専門的な指導リソースやノウハウの不足が顕在化しています。</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行政機関の性質上、特定の民間金融機関（ネット証券やメガバンク等）を優遇・プロモーションできないという「中立性の制約条件」が存在します。</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提供価値（バリュープロポジション） / 実装ロジック</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オープン・プロバイダー・プロトコル:</w:t>
      </w:r>
      <w:r w:rsidDel="00000000" w:rsidR="00000000" w:rsidRPr="00000000">
        <w:rPr>
          <w:rFonts w:ascii="Arial Unicode MS" w:cs="Arial Unicode MS" w:eastAsia="Arial Unicode MS" w:hAnsi="Arial Unicode MS"/>
          <w:rtl w:val="0"/>
        </w:rPr>
        <w:t xml:space="preserve"> 特定の金融機関への誘導を行わない公明正大なシミュレーション環境（サンドボックス）を提供します。認可業者リストから客観的な複数選択肢を提示する完全中立なシステムを実現します。</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圧倒的な技術的信頼性と包括的税務ガバナンス:</w:t>
      </w:r>
      <w:r w:rsidDel="00000000" w:rsidR="00000000" w:rsidRPr="00000000">
        <w:rPr>
          <w:rFonts w:ascii="Arial Unicode MS" w:cs="Arial Unicode MS" w:eastAsia="Arial Unicode MS" w:hAnsi="Arial Unicode MS"/>
          <w:rtl w:val="0"/>
        </w:rPr>
        <w:t xml:space="preserve"> NTTグループの「純国産・高セキュリティ・安全なデータガバナンス」をバックボーンとし、こどもNISA制限や定期贈与リスク回避に加え、口座区分別管理、損益通算、ミニマムタックス等の制度改正、最高裁判決による為替差益課税の自動可視化をOSレベルでハードコードしています。教育現場の負担を抑えつつ、行政が推進する資産形成の理念を税務トラブルなく家庭内へ浸透させます。</w:t>
      </w:r>
    </w:p>
    <w:p w:rsidR="00000000" w:rsidDel="00000000" w:rsidP="00000000" w:rsidRDefault="00000000" w:rsidRPr="00000000" w14:paraId="00000009">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堅牢なガバナンス＆自動ホールド:</w:t>
      </w:r>
      <w:r w:rsidDel="00000000" w:rsidR="00000000" w:rsidRPr="00000000">
        <w:rPr>
          <w:rFonts w:ascii="Arial Unicode MS" w:cs="Arial Unicode MS" w:eastAsia="Arial Unicode MS" w:hAnsi="Arial Unicode MS"/>
          <w:rtl w:val="0"/>
        </w:rPr>
        <w:t xml:space="preserve"> 万が一、特定の金融機関に行政指導が下った際や大幅な税制改正の発生時にも、中立なシミュレーター側が連動します。「LITRON MAS（マルチエージェント）」等を介し、セミオートで該当動線を一時的に自動ホールド・制限できるため、行政が推奨するデジタル副読本として極めて堅牢なガバナンスを担保できます。</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ygzs5ueu2mu" w:id="2"/>
      <w:bookmarkEnd w:id="2"/>
      <w:r w:rsidDel="00000000" w:rsidR="00000000" w:rsidRPr="00000000">
        <w:rPr>
          <w:rFonts w:ascii="Arial Unicode MS" w:cs="Arial Unicode MS" w:eastAsia="Arial Unicode MS" w:hAnsi="Arial Unicode MS"/>
          <w:b w:val="1"/>
          <w:bCs w:val="1"/>
          <w:color w:val="000000"/>
          <w:sz w:val="26"/>
          <w:szCs w:val="26"/>
          <w:rtl w:val="0"/>
        </w:rPr>
        <w:t xml:space="preserve">■ 国内ネット証券（SBI・楽天証券等）</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特有の課題 / 経営課題</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日本の主要ネット証券における中長期的な最大のリスクは、現在のメイン顧客層（40〜50代）から投資に関心の薄い次世代（子・孫世代）へ資産が承継された際、大規模な「資産流出（チャーン）」が発生することです。</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複数口座（一般・特定・NISA）を跨ぐ損益通算や3年間の繰越控除、外貨建て資産の複雑な為替差益（雑所得）計算、米国ウォッシュセール規制の負担が顧客の取引阻害・問い合わせ増大につながっています。</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提供価値（バリュープロポジション） / 実装ロジック</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低コストな次世代アプローチ:</w:t>
      </w:r>
      <w:r w:rsidDel="00000000" w:rsidR="00000000" w:rsidRPr="00000000">
        <w:rPr>
          <w:rFonts w:ascii="Arial Unicode MS" w:cs="Arial Unicode MS" w:eastAsia="Arial Unicode MS" w:hAnsi="Arial Unicode MS"/>
          <w:rtl w:val="0"/>
        </w:rPr>
        <w:t xml:space="preserve"> 新規の若年層を個別に獲得するための高いマーケティングコストをかける必要がありません。現行の優良顧客の次世代（子ども）に対し、早期から自然な形で自社のUI/UXおよび経済圏へのエンゲージメントを高めます。</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損益通算・繰越控除＆為替差益・ウォッシュセール全自動化エンジン:</w:t>
      </w:r>
      <w:r w:rsidDel="00000000" w:rsidR="00000000" w:rsidRPr="00000000">
        <w:rPr>
          <w:rFonts w:ascii="Arial Unicode MS" w:cs="Arial Unicode MS" w:eastAsia="Arial Unicode MS" w:hAnsi="Arial Unicode MS"/>
          <w:rtl w:val="0"/>
        </w:rPr>
        <w:t xml:space="preserve"> 一般・特定・NISA口座間の損益通算および翌年以降3年間の繰越控除をリアルタイム計算。さらに米株ウォッシュセール回避（Tax-Loss Harvesting）や為替差益（雑所得）算定をミリ秒単位で処理し、ワンクリックで申告用データを生成可能とすることで個人投資家の心理的障壁とサポートコストを劇的に削減します。</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こどもNISA制限＆マルチガードレール:</w:t>
      </w:r>
      <w:r w:rsidDel="00000000" w:rsidR="00000000" w:rsidRPr="00000000">
        <w:rPr>
          <w:rFonts w:ascii="Arial Unicode MS" w:cs="Arial Unicode MS" w:eastAsia="Arial Unicode MS" w:hAnsi="Arial Unicode MS"/>
          <w:rtl w:val="0"/>
        </w:rPr>
        <w:t xml:space="preserve"> 「こどもNISA枠（年間60万円）」における成長投資枠の完全遮断、「暦年贈与枠（年間110万円）」のハードロック、ミニマムタックス検知のマルチガードレールにより、税務トラブルを確実に防止します。</w:t>
      </w:r>
    </w:p>
    <w:p w:rsidR="00000000" w:rsidDel="00000000" w:rsidP="00000000" w:rsidRDefault="00000000" w:rsidRPr="00000000" w14:paraId="00000012">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長期リテンション・アーキテクチャ:</w:t>
      </w:r>
      <w:r w:rsidDel="00000000" w:rsidR="00000000" w:rsidRPr="00000000">
        <w:rPr>
          <w:rFonts w:ascii="Arial Unicode MS" w:cs="Arial Unicode MS" w:eastAsia="Arial Unicode MS" w:hAnsi="Arial Unicode MS"/>
          <w:rtl w:val="0"/>
        </w:rPr>
        <w:t xml:space="preserve"> 「サンドボックス」→「少額取引」→「権限完全移行」へと自動遷移し、eKYCと連動して実口座へ昇格させるため、世代を超えてアカウントおよび経済圏を自動継承します。</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kigusafxjws" w:id="3"/>
      <w:bookmarkEnd w:id="3"/>
      <w:r w:rsidDel="00000000" w:rsidR="00000000" w:rsidRPr="00000000">
        <w:rPr>
          <w:rFonts w:ascii="Arial Unicode MS" w:cs="Arial Unicode MS" w:eastAsia="Arial Unicode MS" w:hAnsi="Arial Unicode MS"/>
          <w:b w:val="1"/>
          <w:bCs w:val="1"/>
          <w:color w:val="000000"/>
          <w:sz w:val="26"/>
          <w:szCs w:val="26"/>
          <w:rtl w:val="0"/>
        </w:rPr>
        <w:t xml:space="preserve">■ メガバンク・信託銀行</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特有の課題 / 経営課題</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日本の高齢者層における膨大な預貯金（タンス預金・普通預金）が投資に回らない背景には、金融商品に対する心理的ハードルや、「暦年贈与」・「名義預金判定」・複数口座/外貨運用時の複雑な税務手続き、さらに将来的な金融所得課税強化（ミニマムタックス 30%等）に対する懸念がボトルネックとなっている現状があります。</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提供価値（バリュープロポジション） / 実装ロジック</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生前贈与のスマートデジタル動線:</w:t>
      </w:r>
      <w:r w:rsidDel="00000000" w:rsidR="00000000" w:rsidRPr="00000000">
        <w:rPr>
          <w:rFonts w:ascii="Arial Unicode MS" w:cs="Arial Unicode MS" w:eastAsia="Arial Unicode MS" w:hAnsi="Arial Unicode MS"/>
          <w:rtl w:val="0"/>
        </w:rPr>
        <w:t xml:space="preserve"> 孫・子ども世代への「お小遣い・生前贈与のスマートなデジタル動線」として本システムを提案できます。</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スマート電子贈与ワークフロー:</w:t>
      </w:r>
      <w:r w:rsidDel="00000000" w:rsidR="00000000" w:rsidRPr="00000000">
        <w:rPr>
          <w:rFonts w:ascii="Arial Unicode MS" w:cs="Arial Unicode MS" w:eastAsia="Arial Unicode MS" w:hAnsi="Arial Unicode MS"/>
          <w:rtl w:val="0"/>
        </w:rPr>
        <w:t xml:space="preserve"> LITRONが暗号化電子署名・タイムスタンプ付き「都度贈与合意書データ」を即時生成し、送金時期・金額に「ゆらぎ（変調）」を加えることで、定期贈与（一括課税）や名義預金認定リスクを物理的に回避します。</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富裕層向けミニマムタックス対策＆マルチ・トラッキング:</w:t>
      </w:r>
      <w:r w:rsidDel="00000000" w:rsidR="00000000" w:rsidRPr="00000000">
        <w:rPr>
          <w:rFonts w:ascii="Arial Unicode MS" w:cs="Arial Unicode MS" w:eastAsia="Arial Unicode MS" w:hAnsi="Arial Unicode MS"/>
          <w:rtl w:val="0"/>
        </w:rPr>
        <w:t xml:space="preserve"> 最低30%課税強化等の税制改正動向を自動検知し、最適な資産配置や贈与・NISA活用の節税シミュレーションを提示。さらに積立NISA枠（60万円）、贈与枠（110万円）、一般/特定口座の損益通算、外貨差益をバックエンド（LITRON）でマルチ・トラッキングし、眠っている預金資産を最も安全な形で『次世代への投資原資』へと還流させます。</w:t>
      </w:r>
    </w:p>
    <w:p w:rsidR="00000000" w:rsidDel="00000000" w:rsidP="00000000" w:rsidRDefault="00000000" w:rsidRPr="00000000" w14:paraId="0000001A">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コンプライアンスのカプセル化（出力検閲ロック）:</w:t>
      </w:r>
      <w:r w:rsidDel="00000000" w:rsidR="00000000" w:rsidRPr="00000000">
        <w:rPr>
          <w:rFonts w:ascii="Arial Unicode MS" w:cs="Arial Unicode MS" w:eastAsia="Arial Unicode MS" w:hAnsi="Arial Unicode MS"/>
          <w:rtl w:val="0"/>
        </w:rPr>
        <w:t xml:space="preserve"> 純国産LLM「tsuzumi」のアウトプット層による「物理的ハード・ガードレール（出力検閲ロック）」により、特定個別銘柄の推奨や断定的利益の約束を完全に排除します。</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