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iaaxl4utf3vu" w:id="0"/>
      <w:bookmarkEnd w:id="0"/>
      <w:r w:rsidDel="00000000" w:rsidR="00000000" w:rsidRPr="00000000">
        <w:rPr>
          <w:rFonts w:ascii="Arial Unicode MS" w:cs="Arial Unicode MS" w:eastAsia="Arial Unicode MS" w:hAnsi="Arial Unicode MS"/>
          <w:b w:val="1"/>
          <w:bCs w:val="1"/>
          <w:rtl w:val="0"/>
        </w:rPr>
        <w:t xml:space="preserve">04_システムアーキテクチャ＆データライフサイクル解説書（NTTソリューション移行シナリオ仕様）【v6改訂版】</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251xezypw9ns"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子どもの成長（ライフステージ）に連動してシステムの権限やUI/UXがどのように動的に遷移するか、また、金融機関の既存システムとどのようにミニマムかつセキュアに連携するかを視覚的トポロジーを踏まえて技術・運用の両面から解説します。</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r5hyw3lmyr64"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「データ重力とインフラ統合」システムトポロジー（2面構成と力学動線）</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【① ユーザー・フロント層（画面上部）】</w:t>
      </w:r>
    </w:p>
    <w:p w:rsidR="00000000" w:rsidDel="00000000" w:rsidP="00000000" w:rsidRDefault="00000000" w:rsidRPr="00000000" w14:paraId="00000006">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コンポーネント:</w:t>
      </w:r>
      <w:r w:rsidDel="00000000" w:rsidR="00000000" w:rsidRPr="00000000">
        <w:rPr>
          <w:rFonts w:ascii="Arial Unicode MS" w:cs="Arial Unicode MS" w:eastAsia="Arial Unicode MS" w:hAnsi="Arial Unicode MS"/>
          <w:rtl w:val="0"/>
        </w:rPr>
        <w:t xml:space="preserve"> 「親のスマホ」と「子どもの端末（お小遣いライフログ入力）」</w:t>
      </w:r>
    </w:p>
    <w:p w:rsidR="00000000" w:rsidDel="00000000" w:rsidP="00000000" w:rsidRDefault="00000000" w:rsidRPr="00000000" w14:paraId="00000007">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負荷分散:</w:t>
      </w:r>
      <w:r w:rsidDel="00000000" w:rsidR="00000000" w:rsidRPr="00000000">
        <w:rPr>
          <w:rFonts w:ascii="Arial Unicode MS" w:cs="Arial Unicode MS" w:eastAsia="Arial Unicode MS" w:hAnsi="Arial Unicode MS"/>
          <w:rtl w:val="0"/>
        </w:rPr>
        <w:t xml:space="preserve"> WebAssembly等を活用したエッジ処理により、全国規模のイベントによる集中トラフィック（バースト）をフロント側で効率的に吸収。初期解析をエッジで行い、確度の高いログのみをバックエンドへ非同期リレーします。ショートURL付きバリデーションにより非課税枠、マルチ口座管理、および為替差益自動管理の初期設定を引き継ぎます。</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【② 現在の金融機関インフラ領域（画面左側：他社クラウド環境等）】</w:t>
      </w:r>
    </w:p>
    <w:p w:rsidR="00000000" w:rsidDel="00000000" w:rsidP="00000000" w:rsidRDefault="00000000" w:rsidRPr="00000000" w14:paraId="00000009">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コンポーネント:</w:t>
      </w:r>
      <w:r w:rsidDel="00000000" w:rsidR="00000000" w:rsidRPr="00000000">
        <w:rPr>
          <w:rFonts w:ascii="Arial Unicode MS" w:cs="Arial Unicode MS" w:eastAsia="Arial Unicode MS" w:hAnsi="Arial Unicode MS"/>
          <w:rtl w:val="0"/>
        </w:rPr>
        <w:t xml:space="preserve"> 「金融機関 既存基幹システム（預金・取引・顧客マスターデータ：UID）」</w:t>
      </w:r>
    </w:p>
    <w:p w:rsidR="00000000" w:rsidDel="00000000" w:rsidP="00000000" w:rsidRDefault="00000000" w:rsidRPr="00000000" w14:paraId="0000000A">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データ連携:</w:t>
      </w:r>
      <w:r w:rsidDel="00000000" w:rsidR="00000000" w:rsidRPr="00000000">
        <w:rPr>
          <w:rFonts w:ascii="Arial Unicode MS" w:cs="Arial Unicode MS" w:eastAsia="Arial Unicode MS" w:hAnsi="Arial Unicode MS"/>
          <w:rtl w:val="0"/>
        </w:rPr>
        <w:t xml:space="preserve"> TWB（Tsuzumi Wealth Bridge）駆動領域へは、APIまたはショートURL経由による顧客データの「ミニマム連携（点線の細い矢印）」のみを行い、既存基幹にリアルタイムの過負荷を一切かけません。</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【③ TWB駆動領域（画面右側：NTTソリューション / セキュア環境）】</w:t>
      </w:r>
    </w:p>
    <w:p w:rsidR="00000000" w:rsidDel="00000000" w:rsidP="00000000" w:rsidRDefault="00000000" w:rsidRPr="00000000" w14:paraId="0000000C">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コアコンポーネント:</w:t>
      </w:r>
      <w:r w:rsidDel="00000000" w:rsidR="00000000" w:rsidRPr="00000000">
        <w:rPr>
          <w:rFonts w:ascii="Arial Unicode MS" w:cs="Arial Unicode MS" w:eastAsia="Arial Unicode MS" w:hAnsi="Arial Unicode MS"/>
          <w:rtl w:val="0"/>
        </w:rPr>
        <w:t xml:space="preserve"> 純国産LLM「tsuzumi」および生成AIソリューション「LITRON（LITRON CORE / LITRON MAS）」</w:t>
      </w:r>
    </w:p>
    <w:p w:rsidR="00000000" w:rsidDel="00000000" w:rsidP="00000000" w:rsidRDefault="00000000" w:rsidRPr="00000000" w14:paraId="0000000D">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役割:</w:t>
      </w:r>
      <w:r w:rsidDel="00000000" w:rsidR="00000000" w:rsidRPr="00000000">
        <w:rPr>
          <w:rFonts w:ascii="Arial Unicode MS" w:cs="Arial Unicode MS" w:eastAsia="Arial Unicode MS" w:hAnsi="Arial Unicode MS"/>
          <w:rtl w:val="0"/>
        </w:rPr>
        <w:t xml:space="preserve"> ミニマム連携されたUIDを起点に、日々の行動ログ・資産シミュレーションデータを暗号化のうえセキュアに蓄積します。</w:t>
      </w:r>
    </w:p>
    <w:p w:rsidR="00000000" w:rsidDel="00000000" w:rsidP="00000000" w:rsidRDefault="00000000" w:rsidRPr="00000000" w14:paraId="0000000E">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ガードレール制御・レギュラトリー・税務対応:</w:t>
      </w:r>
    </w:p>
    <w:p w:rsidR="00000000" w:rsidDel="00000000" w:rsidP="00000000" w:rsidRDefault="00000000" w:rsidRPr="00000000" w14:paraId="0000000F">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物理ガードレール:</w:t>
      </w:r>
      <w:r w:rsidDel="00000000" w:rsidR="00000000" w:rsidRPr="00000000">
        <w:rPr>
          <w:rFonts w:ascii="Arial Unicode MS" w:cs="Arial Unicode MS" w:eastAsia="Arial Unicode MS" w:hAnsi="Arial Unicode MS"/>
          <w:rtl w:val="0"/>
        </w:rPr>
        <w:t xml:space="preserve"> 「tsuzumi」のアウトプット層において「特定個別銘柄の推奨」や「断定的利益の約束」を絶対に吐き出させない物理的なハード・ガードレール（出力検閲ロック）を実装。</w:t>
      </w:r>
    </w:p>
    <w:p w:rsidR="00000000" w:rsidDel="00000000" w:rsidP="00000000" w:rsidRDefault="00000000" w:rsidRPr="00000000" w14:paraId="00000010">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全証券口座区分（一般・特定・NISA）自動税務ルーティング:</w:t>
      </w:r>
      <w:r w:rsidDel="00000000" w:rsidR="00000000" w:rsidRPr="00000000">
        <w:rPr>
          <w:rFonts w:ascii="Arial Unicode MS" w:cs="Arial Unicode MS" w:eastAsia="Arial Unicode MS" w:hAnsi="Arial Unicode MS"/>
          <w:rtl w:val="0"/>
        </w:rPr>
        <w:t xml:space="preserve"> 一般口座、特定口座（源泉あり/なし）、新NISA（つみたて/成長）、こどもNISAの区分管理と自動分類処理。</w:t>
      </w:r>
    </w:p>
    <w:p w:rsidR="00000000" w:rsidDel="00000000" w:rsidP="00000000" w:rsidRDefault="00000000" w:rsidRPr="00000000" w14:paraId="00000011">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こどもNISA制限フィルタ:</w:t>
      </w:r>
      <w:r w:rsidDel="00000000" w:rsidR="00000000" w:rsidRPr="00000000">
        <w:rPr>
          <w:rFonts w:ascii="Arial Unicode MS" w:cs="Arial Unicode MS" w:eastAsia="Arial Unicode MS" w:hAnsi="Arial Unicode MS"/>
          <w:rtl w:val="0"/>
        </w:rPr>
        <w:t xml:space="preserve"> 成長投資枠（個別株等）の選択動線をハードコードで物理遮断し、つみたて投資枠対象商品のみに限定。</w:t>
      </w:r>
    </w:p>
    <w:p w:rsidR="00000000" w:rsidDel="00000000" w:rsidP="00000000" w:rsidRDefault="00000000" w:rsidRPr="00000000" w14:paraId="00000012">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税務境界値ロック:</w:t>
      </w:r>
      <w:r w:rsidDel="00000000" w:rsidR="00000000" w:rsidRPr="00000000">
        <w:rPr>
          <w:rFonts w:ascii="Arial Unicode MS" w:cs="Arial Unicode MS" w:eastAsia="Arial Unicode MS" w:hAnsi="Arial Unicode MS"/>
          <w:rtl w:val="0"/>
        </w:rPr>
        <w:t xml:space="preserve"> 「暦年贈与の基礎控除額（年間110万円）」および「こどもNISA年間非課税枠（年間60万円）」のハードコード制御。</w:t>
      </w:r>
    </w:p>
    <w:p w:rsidR="00000000" w:rsidDel="00000000" w:rsidP="00000000" w:rsidRDefault="00000000" w:rsidRPr="00000000" w14:paraId="00000013">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損益通算＆3年間繰越控除計算エンジン:</w:t>
      </w:r>
      <w:r w:rsidDel="00000000" w:rsidR="00000000" w:rsidRPr="00000000">
        <w:rPr>
          <w:rFonts w:ascii="Arial Unicode MS" w:cs="Arial Unicode MS" w:eastAsia="Arial Unicode MS" w:hAnsi="Arial Unicode MS"/>
          <w:rtl w:val="0"/>
        </w:rPr>
        <w:t xml:space="preserve"> 複数口座に跨がる損益および配当金をLITRON COREでリアルタイム集計し、繰越控除適用時の節税効果を試算・確定申告用書類を出力。</w:t>
      </w:r>
    </w:p>
    <w:p w:rsidR="00000000" w:rsidDel="00000000" w:rsidP="00000000" w:rsidRDefault="00000000" w:rsidRPr="00000000" w14:paraId="00000014">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ミニマムタックス（最低30%課税強化）動向検知モジュール:</w:t>
      </w:r>
      <w:r w:rsidDel="00000000" w:rsidR="00000000" w:rsidRPr="00000000">
        <w:rPr>
          <w:rFonts w:ascii="Arial Unicode MS" w:cs="Arial Unicode MS" w:eastAsia="Arial Unicode MS" w:hAnsi="Arial Unicode MS"/>
          <w:rtl w:val="0"/>
        </w:rPr>
        <w:t xml:space="preserve"> 富裕層・高額所得者の課税強化の税制改正動きを監視し、境界値接近アラートおよび最適資産配置シミュレーションを実行。</w:t>
      </w:r>
    </w:p>
    <w:p w:rsidR="00000000" w:rsidDel="00000000" w:rsidP="00000000" w:rsidRDefault="00000000" w:rsidRPr="00000000" w14:paraId="00000015">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米国ウォッシュセール（Wash-Sale Rule）自動追跡＆Tax-Loss Harvesting:</w:t>
      </w:r>
      <w:r w:rsidDel="00000000" w:rsidR="00000000" w:rsidRPr="00000000">
        <w:rPr>
          <w:rFonts w:ascii="Arial Unicode MS" w:cs="Arial Unicode MS" w:eastAsia="Arial Unicode MS" w:hAnsi="Arial Unicode MS"/>
          <w:rtl w:val="0"/>
        </w:rPr>
        <w:t xml:space="preserve"> 61日間の同一・同種銘柄取引をミリ秒単位で追跡し、損失否認リスク検知および代替ETF等への自動スワップ提案を行う。</w:t>
      </w:r>
    </w:p>
    <w:p w:rsidR="00000000" w:rsidDel="00000000" w:rsidP="00000000" w:rsidRDefault="00000000" w:rsidRPr="00000000" w14:paraId="00000016">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外貨積立・マルチ為替差益計算エンジン:</w:t>
      </w:r>
      <w:r w:rsidDel="00000000" w:rsidR="00000000" w:rsidRPr="00000000">
        <w:rPr>
          <w:rFonts w:ascii="Arial Unicode MS" w:cs="Arial Unicode MS" w:eastAsia="Arial Unicode MS" w:hAnsi="Arial Unicode MS"/>
          <w:rtl w:val="0"/>
        </w:rPr>
        <w:t xml:space="preserve"> ドル購入時・積立時の為替レート（TTM）と取得額を全自動ログ化し、移動平均法／総平均法による平均取得単価をバックエンドでミリ秒単位で計算・更新。外貨決済・銘柄乗り換え（スワップ）時の為替差益実現を自動識別し、確定申告ライン（20万円）前のアラート出力および確定申告用サポートデータ（CSV/PDF）を自動生成。</w:t>
      </w:r>
    </w:p>
    <w:p w:rsidR="00000000" w:rsidDel="00000000" w:rsidP="00000000" w:rsidRDefault="00000000" w:rsidRPr="00000000" w14:paraId="00000017">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スマート電子贈与プロトコル:</w:t>
      </w:r>
      <w:r w:rsidDel="00000000" w:rsidR="00000000" w:rsidRPr="00000000">
        <w:rPr>
          <w:rFonts w:ascii="Arial Unicode MS" w:cs="Arial Unicode MS" w:eastAsia="Arial Unicode MS" w:hAnsi="Arial Unicode MS"/>
          <w:rtl w:val="0"/>
        </w:rPr>
        <w:t xml:space="preserve"> LITRON COREが動的ゆらぎ制御と電子署名付き合意書データを自動付与し、定期贈与認定リスクを遮断。</w:t>
      </w:r>
    </w:p>
    <w:p w:rsidR="00000000" w:rsidDel="00000000" w:rsidP="00000000" w:rsidRDefault="00000000" w:rsidRPr="00000000" w14:paraId="00000018">
      <w:pPr>
        <w:numPr>
          <w:ilvl w:val="2"/>
          <w:numId w:val="1"/>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セミオート・レギュラトリー対応:</w:t>
      </w:r>
      <w:r w:rsidDel="00000000" w:rsidR="00000000" w:rsidRPr="00000000">
        <w:rPr>
          <w:rFonts w:ascii="Arial Unicode MS" w:cs="Arial Unicode MS" w:eastAsia="Arial Unicode MS" w:hAnsi="Arial Unicode MS"/>
          <w:rtl w:val="0"/>
        </w:rPr>
        <w:t xml:space="preserve"> 地政学リスク、最高裁判例、ミニマムタックス等の税制変更に伴う課税ガイドラインの改定等を検知した場合、「LITRON MAS」が起動し、コンプライアンス責任者による手動承認（Human-in-the-Loop）を経て機能制御を行う安全な免責構造を死守。</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【④ クラウド間を繋ぐ「統合シナジーを示す太い矢印」（TCO削減の動線）】</w:t>
      </w:r>
    </w:p>
    <w:p w:rsidR="00000000" w:rsidDel="00000000" w:rsidP="00000000" w:rsidRDefault="00000000" w:rsidRPr="00000000" w14:paraId="0000001A">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力学ロジック:</w:t>
      </w:r>
      <w:r w:rsidDel="00000000" w:rsidR="00000000" w:rsidRPr="00000000">
        <w:rPr>
          <w:rFonts w:ascii="Arial Unicode MS" w:cs="Arial Unicode MS" w:eastAsia="Arial Unicode MS" w:hAnsi="Arial Unicode MS"/>
          <w:rtl w:val="0"/>
        </w:rPr>
        <w:t xml:space="preserve"> ライフログおよび高頻度なマルチ口座・為替・損益通算・取引計算ログがTWB側に溜まるほど「データ資産（重力場）」が増大し、他社クラウド間とのデータ転送コストや通信遅延が顕在化します。</w:t>
      </w:r>
    </w:p>
    <w:p w:rsidR="00000000" w:rsidDel="00000000" w:rsidP="00000000" w:rsidRDefault="00000000" w:rsidRPr="00000000" w14:paraId="0000001B">
      <w:pPr>
        <w:numPr>
          <w:ilvl w:val="1"/>
          <w:numId w:val="1"/>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最終結論（ROI）:</w:t>
      </w:r>
      <w:r w:rsidDel="00000000" w:rsidR="00000000" w:rsidRPr="00000000">
        <w:rPr>
          <w:rFonts w:ascii="Arial Unicode MS" w:cs="Arial Unicode MS" w:eastAsia="Arial Unicode MS" w:hAnsi="Arial Unicode MS"/>
          <w:rtl w:val="0"/>
        </w:rPr>
        <w:t xml:space="preserve"> 基幹データおよび取引システムをNTTグループが提供する高セキュリティソリューションや次世代情報通信基盤（IOWN等）へ移行・統合させる大規模インフラリプレース動線を提示します。</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oe5cja1a0dxj"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子ども向け：ライフステージ連動型権限移行（パーミッション・ライフサイクル）</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ステップ1：サンドボックス環境:</w:t>
      </w:r>
      <w:r w:rsidDel="00000000" w:rsidR="00000000" w:rsidRPr="00000000">
        <w:rPr>
          <w:rFonts w:ascii="Arial Unicode MS" w:cs="Arial Unicode MS" w:eastAsia="Arial Unicode MS" w:hAnsi="Arial Unicode MS"/>
          <w:rtl w:val="0"/>
        </w:rPr>
        <w:t xml:space="preserve"> 仮想空間での積立投資シミュレーション（親は閲覧のみ）。</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ステップ2：少額取引申請・保護者承認＆電子贈与ゲート:</w:t>
      </w:r>
      <w:r w:rsidDel="00000000" w:rsidR="00000000" w:rsidRPr="00000000">
        <w:rPr>
          <w:rFonts w:ascii="Arial Unicode MS" w:cs="Arial Unicode MS" w:eastAsia="Arial Unicode MS" w:hAnsi="Arial Unicode MS"/>
          <w:rtl w:val="0"/>
        </w:rPr>
        <w:t xml:space="preserve"> 子どもからのリアルな少額投資実行ボタンに対し、親が承認・電子署名を行って都度贈与とトランザクションが同時成立（LITRON CORE制御）。マルチ口座管理・外貨積立・損益通算計算エンジンが裏側で自動稼働。</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ステップ2.5：コンプライアンス・エスカレーション・ゲート:</w:t>
      </w:r>
      <w:r w:rsidDel="00000000" w:rsidR="00000000" w:rsidRPr="00000000">
        <w:rPr>
          <w:rFonts w:ascii="Arial Unicode MS" w:cs="Arial Unicode MS" w:eastAsia="Arial Unicode MS" w:hAnsi="Arial Unicode MS"/>
          <w:rtl w:val="0"/>
        </w:rPr>
        <w:t xml:space="preserve"> 緊急のリスク・税制改正（ミニマムタックス導入等）・最高裁判例改定の検知時、「LITRON MAS」が承認を一時自動ホールドし審査部門へエスカレーション。</w:t>
      </w:r>
    </w:p>
    <w:p w:rsidR="00000000" w:rsidDel="00000000" w:rsidP="00000000" w:rsidRDefault="00000000" w:rsidRPr="00000000" w14:paraId="00000020">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ステップ3：権限完全移行とリーガルデータ昇格:</w:t>
      </w:r>
      <w:r w:rsidDel="00000000" w:rsidR="00000000" w:rsidRPr="00000000">
        <w:rPr>
          <w:rFonts w:ascii="Arial Unicode MS" w:cs="Arial Unicode MS" w:eastAsia="Arial Unicode MS" w:hAnsi="Arial Unicode MS"/>
          <w:rtl w:val="0"/>
        </w:rPr>
        <w:t xml:space="preserve"> 成人・習熟度達成時に管理権限を子どもへ移行し、日本のeKYCと連動して実口座のリーガルデータへと安全に昇格。</w:t>
      </w:r>
    </w:p>
    <w:p w:rsidR="00000000" w:rsidDel="00000000" w:rsidP="00000000" w:rsidRDefault="00000000" w:rsidRPr="00000000" w14:paraId="00000021">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