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ind w:left="720" w:hanging="360"/>
        <w:rPr>
          <w:b w:val="1"/>
          <w:bCs w:val="1"/>
        </w:rPr>
      </w:pPr>
      <w:bookmarkStart w:colFirst="0" w:colLast="0" w:name="_2vbxqzoc5r2y" w:id="0"/>
      <w:bookmarkEnd w:id="0"/>
      <w:r w:rsidDel="00000000" w:rsidR="00000000" w:rsidRPr="00000000">
        <w:rPr>
          <w:rFonts w:ascii="Arial Unicode MS" w:cs="Arial Unicode MS" w:eastAsia="Arial Unicode MS" w:hAnsi="Arial Unicode MS"/>
          <w:b w:val="1"/>
          <w:bCs w:val="1"/>
          <w:rtl w:val="0"/>
        </w:rPr>
        <w:t xml:space="preserve">05_プロジェクトスケジュール＆マイルストーン計画書（NTTインフラ回収タイムライン仕様）【v6改訂版・完全補完版】</w:t>
      </w:r>
    </w:p>
    <w:p w:rsidR="00000000" w:rsidDel="00000000" w:rsidP="00000000" w:rsidRDefault="00000000" w:rsidRPr="00000000" w14:paraId="00000002">
      <w:pPr>
        <w:pStyle w:val="Heading3"/>
        <w:keepNext w:val="0"/>
        <w:keepLines w:val="0"/>
        <w:spacing w:before="0" w:lineRule="auto"/>
        <w:ind w:left="720" w:hanging="360"/>
        <w:rPr>
          <w:b w:val="1"/>
          <w:bCs w:val="1"/>
          <w:color w:val="000000"/>
          <w:sz w:val="26"/>
          <w:szCs w:val="26"/>
        </w:rPr>
      </w:pPr>
      <w:bookmarkStart w:colFirst="0" w:colLast="0" w:name="_ph9vgsbvr4tc" w:id="1"/>
      <w:bookmarkEnd w:id="1"/>
      <w:r w:rsidDel="00000000" w:rsidR="00000000" w:rsidRPr="00000000">
        <w:rPr>
          <w:rFonts w:ascii="Arial Unicode MS" w:cs="Arial Unicode MS" w:eastAsia="Arial Unicode MS" w:hAnsi="Arial Unicode MS"/>
          <w:b w:val="1"/>
          <w:bCs w:val="1"/>
          <w:color w:val="000000"/>
          <w:sz w:val="26"/>
          <w:szCs w:val="26"/>
          <w:rtl w:val="0"/>
        </w:rPr>
        <w:t xml:space="preserve">1. 本資料の目的</w:t>
      </w:r>
    </w:p>
    <w:p w:rsidR="00000000" w:rsidDel="00000000" w:rsidP="00000000" w:rsidRDefault="00000000" w:rsidRPr="00000000" w14:paraId="00000003">
      <w:pPr>
        <w:spacing w:after="240" w:lineRule="auto"/>
        <w:rPr/>
      </w:pPr>
      <w:r w:rsidDel="00000000" w:rsidR="00000000" w:rsidRPr="00000000">
        <w:rPr>
          <w:rFonts w:ascii="Arial Unicode MS" w:cs="Arial Unicode MS" w:eastAsia="Arial Unicode MS" w:hAnsi="Arial Unicode MS"/>
          <w:rtl w:val="0"/>
        </w:rPr>
        <w:t xml:space="preserve">本プロジェクト『Tsuzumi Wealth Bridge（TWB）』の立ち上げからインフラ回収に至るまでのタイムラインを可視化し、各専門部門の責任範囲および承認直後の初動タスク（24時間以内）を紐付けた実行可能性を経営陣に証明します。</w:t>
      </w:r>
    </w:p>
    <w:p w:rsidR="00000000" w:rsidDel="00000000" w:rsidP="00000000" w:rsidRDefault="00000000" w:rsidRPr="00000000" w14:paraId="00000004">
      <w:pPr>
        <w:pStyle w:val="Heading3"/>
        <w:keepNext w:val="0"/>
        <w:keepLines w:val="0"/>
        <w:spacing w:before="0" w:lineRule="auto"/>
        <w:ind w:left="720" w:hanging="360"/>
        <w:rPr>
          <w:b w:val="1"/>
          <w:bCs w:val="1"/>
          <w:color w:val="000000"/>
          <w:sz w:val="26"/>
          <w:szCs w:val="26"/>
        </w:rPr>
      </w:pPr>
      <w:bookmarkStart w:colFirst="0" w:colLast="0" w:name="_anjxv14xw3z2" w:id="2"/>
      <w:bookmarkEnd w:id="2"/>
      <w:r w:rsidDel="00000000" w:rsidR="00000000" w:rsidRPr="00000000">
        <w:rPr>
          <w:rFonts w:ascii="Arial Unicode MS" w:cs="Arial Unicode MS" w:eastAsia="Arial Unicode MS" w:hAnsi="Arial Unicode MS"/>
          <w:b w:val="1"/>
          <w:bCs w:val="1"/>
          <w:color w:val="000000"/>
          <w:sz w:val="26"/>
          <w:szCs w:val="26"/>
          <w:rtl w:val="0"/>
        </w:rPr>
        <w:t xml:space="preserve">2. プロジェクト承認直後の初動タスク：明日から動くステップ（24時間以内）</w:t>
      </w:r>
    </w:p>
    <w:p w:rsidR="00000000" w:rsidDel="00000000" w:rsidP="00000000" w:rsidRDefault="00000000" w:rsidRPr="00000000" w14:paraId="00000005">
      <w:pPr>
        <w:spacing w:after="240" w:lineRule="auto"/>
        <w:rPr/>
      </w:pPr>
      <w:r w:rsidDel="00000000" w:rsidR="00000000" w:rsidRPr="00000000">
        <w:rPr>
          <w:rFonts w:ascii="Arial Unicode MS" w:cs="Arial Unicode MS" w:eastAsia="Arial Unicode MS" w:hAnsi="Arial Unicode MS"/>
          <w:rtl w:val="0"/>
        </w:rPr>
        <w:t xml:space="preserve">本プロジェクトの承認後、即座に24時間以内に着手・完了させる「キックオフ・ファーストステップ」を以下の通り定義します。</w:t>
      </w:r>
    </w:p>
    <w:p w:rsidR="00000000" w:rsidDel="00000000" w:rsidP="00000000" w:rsidRDefault="00000000" w:rsidRPr="00000000" w14:paraId="00000006">
      <w:pPr>
        <w:numPr>
          <w:ilvl w:val="0"/>
          <w:numId w:val="4"/>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【BizDev / Sales部門】（着手: 0〜6時間以内）</w:t>
      </w:r>
    </w:p>
    <w:p w:rsidR="00000000" w:rsidDel="00000000" w:rsidP="00000000" w:rsidRDefault="00000000" w:rsidRPr="00000000" w14:paraId="00000007">
      <w:pPr>
        <w:numPr>
          <w:ilvl w:val="1"/>
          <w:numId w:val="4"/>
        </w:numPr>
        <w:spacing w:after="0" w:afterAutospacing="0" w:lineRule="auto"/>
        <w:ind w:left="1440" w:hanging="360"/>
      </w:pPr>
      <w:r w:rsidDel="00000000" w:rsidR="00000000" w:rsidRPr="00000000">
        <w:rPr>
          <w:rFonts w:ascii="Arial Unicode MS" w:cs="Arial Unicode MS" w:eastAsia="Arial Unicode MS" w:hAnsi="Arial Unicode MS"/>
          <w:b w:val="1"/>
          <w:bCs w:val="1"/>
          <w:rtl w:val="0"/>
        </w:rPr>
        <w:t xml:space="preserve">タスク1:</w:t>
      </w:r>
      <w:r w:rsidDel="00000000" w:rsidR="00000000" w:rsidRPr="00000000">
        <w:rPr>
          <w:rFonts w:ascii="Arial Unicode MS" w:cs="Arial Unicode MS" w:eastAsia="Arial Unicode MS" w:hAnsi="Arial Unicode MS"/>
          <w:rtl w:val="0"/>
        </w:rPr>
        <w:t xml:space="preserve"> 金融庁（FSA）および経済産業省の担当窓口へのアポイント設定（行政打診準備）。</w:t>
      </w:r>
    </w:p>
    <w:p w:rsidR="00000000" w:rsidDel="00000000" w:rsidP="00000000" w:rsidRDefault="00000000" w:rsidRPr="00000000" w14:paraId="00000008">
      <w:pPr>
        <w:numPr>
          <w:ilvl w:val="1"/>
          <w:numId w:val="4"/>
        </w:numPr>
        <w:spacing w:after="0" w:afterAutospacing="0" w:lineRule="auto"/>
        <w:ind w:left="1440" w:hanging="360"/>
      </w:pPr>
      <w:r w:rsidDel="00000000" w:rsidR="00000000" w:rsidRPr="00000000">
        <w:rPr>
          <w:rFonts w:ascii="Arial Unicode MS" w:cs="Arial Unicode MS" w:eastAsia="Arial Unicode MS" w:hAnsi="Arial Unicode MS"/>
          <w:b w:val="1"/>
          <w:bCs w:val="1"/>
          <w:rtl w:val="0"/>
        </w:rPr>
        <w:t xml:space="preserve">タスク2:</w:t>
      </w:r>
      <w:r w:rsidDel="00000000" w:rsidR="00000000" w:rsidRPr="00000000">
        <w:rPr>
          <w:rFonts w:ascii="Arial Unicode MS" w:cs="Arial Unicode MS" w:eastAsia="Arial Unicode MS" w:hAnsi="Arial Unicode MS"/>
          <w:rtl w:val="0"/>
        </w:rPr>
        <w:t xml:space="preserve"> NTTデータおよびNTTコミュニケーションズの主要金融アカウント営業チーム（メガバンク・大手ネット証券担当エグゼクティブ）へPhase 1提案パッチの共有とキックオフミーティングの召集。</w:t>
      </w:r>
    </w:p>
    <w:p w:rsidR="00000000" w:rsidDel="00000000" w:rsidP="00000000" w:rsidRDefault="00000000" w:rsidRPr="00000000" w14:paraId="00000009">
      <w:pPr>
        <w:numPr>
          <w:ilvl w:val="0"/>
          <w:numId w:val="4"/>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【Legal / Compliance / GR部門】（着手: 0〜12時間以内）</w:t>
      </w:r>
    </w:p>
    <w:p w:rsidR="00000000" w:rsidDel="00000000" w:rsidP="00000000" w:rsidRDefault="00000000" w:rsidRPr="00000000" w14:paraId="0000000A">
      <w:pPr>
        <w:numPr>
          <w:ilvl w:val="1"/>
          <w:numId w:val="4"/>
        </w:numPr>
        <w:spacing w:after="0" w:afterAutospacing="0" w:lineRule="auto"/>
        <w:ind w:left="1440" w:hanging="360"/>
      </w:pPr>
      <w:r w:rsidDel="00000000" w:rsidR="00000000" w:rsidRPr="00000000">
        <w:rPr>
          <w:rFonts w:ascii="Arial Unicode MS" w:cs="Arial Unicode MS" w:eastAsia="Arial Unicode MS" w:hAnsi="Arial Unicode MS"/>
          <w:b w:val="1"/>
          <w:bCs w:val="1"/>
          <w:rtl w:val="0"/>
        </w:rPr>
        <w:t xml:space="preserve">タスク1:</w:t>
      </w:r>
      <w:r w:rsidDel="00000000" w:rsidR="00000000" w:rsidRPr="00000000">
        <w:rPr>
          <w:rFonts w:ascii="Arial Unicode MS" w:cs="Arial Unicode MS" w:eastAsia="Arial Unicode MS" w:hAnsi="Arial Unicode MS"/>
          <w:rtl w:val="0"/>
        </w:rPr>
        <w:t xml:space="preserve"> 法務・税務顧問チームの緊急招集。全証券口座区分（一般・特定・新NISA・こどもNISA）、損益通算＆3年繰越控除、ミニマムタックス（最低30%課税）の最新税制改正動向、最高裁判決（為替差益課税）、および米国ウォッシュセールSLAマトリクスに関するリーガルバリデーションの最終確認。</w:t>
      </w:r>
    </w:p>
    <w:p w:rsidR="00000000" w:rsidDel="00000000" w:rsidP="00000000" w:rsidRDefault="00000000" w:rsidRPr="00000000" w14:paraId="0000000B">
      <w:pPr>
        <w:numPr>
          <w:ilvl w:val="1"/>
          <w:numId w:val="4"/>
        </w:numPr>
        <w:spacing w:after="0" w:afterAutospacing="0" w:lineRule="auto"/>
        <w:ind w:left="1440" w:hanging="360"/>
      </w:pPr>
      <w:r w:rsidDel="00000000" w:rsidR="00000000" w:rsidRPr="00000000">
        <w:rPr>
          <w:rFonts w:ascii="Arial Unicode MS" w:cs="Arial Unicode MS" w:eastAsia="Arial Unicode MS" w:hAnsi="Arial Unicode MS"/>
          <w:b w:val="1"/>
          <w:bCs w:val="1"/>
          <w:rtl w:val="0"/>
        </w:rPr>
        <w:t xml:space="preserve">タスク2:</w:t>
      </w:r>
      <w:r w:rsidDel="00000000" w:rsidR="00000000" w:rsidRPr="00000000">
        <w:rPr>
          <w:rFonts w:ascii="Arial Unicode MS" w:cs="Arial Unicode MS" w:eastAsia="Arial Unicode MS" w:hAnsi="Arial Unicode MS"/>
          <w:rtl w:val="0"/>
        </w:rPr>
        <w:t xml:space="preserve"> 金融庁向け実証実験（PoC）打診文書（文書番号：NTT-FSA-2026-001）のドラフト最終化。</w:t>
      </w:r>
    </w:p>
    <w:p w:rsidR="00000000" w:rsidDel="00000000" w:rsidP="00000000" w:rsidRDefault="00000000" w:rsidRPr="00000000" w14:paraId="0000000C">
      <w:pPr>
        <w:numPr>
          <w:ilvl w:val="0"/>
          <w:numId w:val="4"/>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【System Architecture / Eng部門】（着手: 0〜24時間以内）</w:t>
      </w:r>
    </w:p>
    <w:p w:rsidR="00000000" w:rsidDel="00000000" w:rsidP="00000000" w:rsidRDefault="00000000" w:rsidRPr="00000000" w14:paraId="0000000D">
      <w:pPr>
        <w:numPr>
          <w:ilvl w:val="1"/>
          <w:numId w:val="4"/>
        </w:numPr>
        <w:spacing w:after="0" w:afterAutospacing="0" w:lineRule="auto"/>
        <w:ind w:left="1440" w:hanging="360"/>
      </w:pPr>
      <w:r w:rsidDel="00000000" w:rsidR="00000000" w:rsidRPr="00000000">
        <w:rPr>
          <w:rFonts w:ascii="Arial Unicode MS" w:cs="Arial Unicode MS" w:eastAsia="Arial Unicode MS" w:hAnsi="Arial Unicode MS"/>
          <w:b w:val="1"/>
          <w:bCs w:val="1"/>
          <w:rtl w:val="0"/>
        </w:rPr>
        <w:t xml:space="preserve">タスク1:</w:t>
      </w:r>
      <w:r w:rsidDel="00000000" w:rsidR="00000000" w:rsidRPr="00000000">
        <w:rPr>
          <w:rFonts w:ascii="Arial Unicode MS" w:cs="Arial Unicode MS" w:eastAsia="Arial Unicode MS" w:hAnsi="Arial Unicode MS"/>
          <w:rtl w:val="0"/>
        </w:rPr>
        <w:t xml:space="preserve"> NTT基盤・プロトタイプ開発環境（tsuzumi API / LITRON CORE / LITRON MAS / NTTセキュアデータレイク）のサンドボックス環境プロビジョニング。</w:t>
      </w:r>
    </w:p>
    <w:p w:rsidR="00000000" w:rsidDel="00000000" w:rsidP="00000000" w:rsidRDefault="00000000" w:rsidRPr="00000000" w14:paraId="0000000E">
      <w:pPr>
        <w:numPr>
          <w:ilvl w:val="1"/>
          <w:numId w:val="4"/>
        </w:numPr>
        <w:spacing w:after="0" w:afterAutospacing="0" w:lineRule="auto"/>
        <w:ind w:left="1440" w:hanging="360"/>
      </w:pPr>
      <w:r w:rsidDel="00000000" w:rsidR="00000000" w:rsidRPr="00000000">
        <w:rPr>
          <w:rFonts w:ascii="Arial Unicode MS" w:cs="Arial Unicode MS" w:eastAsia="Arial Unicode MS" w:hAnsi="Arial Unicode MS"/>
          <w:b w:val="1"/>
          <w:bCs w:val="1"/>
          <w:rtl w:val="0"/>
        </w:rPr>
        <w:t xml:space="preserve">タスク2:</w:t>
      </w:r>
      <w:r w:rsidDel="00000000" w:rsidR="00000000" w:rsidRPr="00000000">
        <w:rPr>
          <w:rFonts w:ascii="Arial Unicode MS" w:cs="Arial Unicode MS" w:eastAsia="Arial Unicode MS" w:hAnsi="Arial Unicode MS"/>
          <w:rtl w:val="0"/>
        </w:rPr>
        <w:t xml:space="preserve"> 「tsuzumi」のアウトプット層における特定個別銘柄推奨・投資助言ブロック用パラメータ（物理ハード・ガードレール）の初期設定、および全口座区分（一般/特定/新NISA/こどもNISA）対応・LITRONデータテーブル設計のインポート。</w:t>
      </w:r>
    </w:p>
    <w:p w:rsidR="00000000" w:rsidDel="00000000" w:rsidP="00000000" w:rsidRDefault="00000000" w:rsidRPr="00000000" w14:paraId="0000000F">
      <w:pPr>
        <w:numPr>
          <w:ilvl w:val="1"/>
          <w:numId w:val="4"/>
        </w:numPr>
        <w:spacing w:after="240" w:lineRule="auto"/>
        <w:ind w:left="1440" w:hanging="360"/>
      </w:pPr>
      <w:r w:rsidDel="00000000" w:rsidR="00000000" w:rsidRPr="00000000">
        <w:rPr>
          <w:rFonts w:ascii="Arial Unicode MS" w:cs="Arial Unicode MS" w:eastAsia="Arial Unicode MS" w:hAnsi="Arial Unicode MS"/>
          <w:b w:val="1"/>
          <w:bCs w:val="1"/>
          <w:rtl w:val="0"/>
        </w:rPr>
        <w:t xml:space="preserve">タスク3:</w:t>
      </w:r>
      <w:r w:rsidDel="00000000" w:rsidR="00000000" w:rsidRPr="00000000">
        <w:rPr>
          <w:rFonts w:ascii="Arial Unicode MS" w:cs="Arial Unicode MS" w:eastAsia="Arial Unicode MS" w:hAnsi="Arial Unicode MS"/>
          <w:rtl w:val="0"/>
        </w:rPr>
        <w:t xml:space="preserve"> 全チーム合同の「24時間進捗確認チェックイン」の設定と、マイルストーン1達成に向けたタスクかんばん（Jira / NTT統合開発パイプライン）の発足。</w:t>
      </w:r>
    </w:p>
    <w:p w:rsidR="00000000" w:rsidDel="00000000" w:rsidP="00000000" w:rsidRDefault="00000000" w:rsidRPr="00000000" w14:paraId="00000010">
      <w:pPr>
        <w:pStyle w:val="Heading3"/>
        <w:keepNext w:val="0"/>
        <w:keepLines w:val="0"/>
        <w:spacing w:before="0" w:lineRule="auto"/>
        <w:ind w:left="720" w:hanging="360"/>
        <w:rPr>
          <w:b w:val="1"/>
          <w:bCs w:val="1"/>
          <w:color w:val="000000"/>
          <w:sz w:val="26"/>
          <w:szCs w:val="26"/>
        </w:rPr>
      </w:pPr>
      <w:bookmarkStart w:colFirst="0" w:colLast="0" w:name="_h565j8u1b4hi" w:id="3"/>
      <w:bookmarkEnd w:id="3"/>
      <w:r w:rsidDel="00000000" w:rsidR="00000000" w:rsidRPr="00000000">
        <w:rPr>
          <w:rFonts w:ascii="Arial Unicode MS" w:cs="Arial Unicode MS" w:eastAsia="Arial Unicode MS" w:hAnsi="Arial Unicode MS"/>
          <w:b w:val="1"/>
          <w:bCs w:val="1"/>
          <w:color w:val="000000"/>
          <w:sz w:val="26"/>
          <w:szCs w:val="26"/>
          <w:rtl w:val="0"/>
        </w:rPr>
        <w:t xml:space="preserve">3. 開発・展開スケジュール（中長期ロードマップ）</w:t>
      </w:r>
    </w:p>
    <w:p w:rsidR="00000000" w:rsidDel="00000000" w:rsidP="00000000" w:rsidRDefault="00000000" w:rsidRPr="00000000" w14:paraId="00000011">
      <w:pPr>
        <w:pStyle w:val="Heading4"/>
        <w:keepNext w:val="0"/>
        <w:keepLines w:val="0"/>
        <w:spacing w:after="40" w:before="0" w:lineRule="auto"/>
        <w:ind w:left="720" w:hanging="360"/>
        <w:rPr>
          <w:b w:val="1"/>
          <w:bCs w:val="1"/>
          <w:color w:val="000000"/>
          <w:sz w:val="22"/>
          <w:szCs w:val="22"/>
        </w:rPr>
      </w:pPr>
      <w:bookmarkStart w:colFirst="0" w:colLast="0" w:name="_465wkovk32in" w:id="4"/>
      <w:bookmarkEnd w:id="4"/>
      <w:r w:rsidDel="00000000" w:rsidR="00000000" w:rsidRPr="00000000">
        <w:rPr>
          <w:rFonts w:ascii="Arial Unicode MS" w:cs="Arial Unicode MS" w:eastAsia="Arial Unicode MS" w:hAnsi="Arial Unicode MS"/>
          <w:b w:val="1"/>
          <w:bCs w:val="1"/>
          <w:color w:val="000000"/>
          <w:sz w:val="22"/>
          <w:szCs w:val="22"/>
          <w:rtl w:val="0"/>
        </w:rPr>
        <w:t xml:space="preserve">【第1期：ドアオープナー期（Day 1 〜 6ヶ月）】</w:t>
      </w:r>
    </w:p>
    <w:p w:rsidR="00000000" w:rsidDel="00000000" w:rsidP="00000000" w:rsidRDefault="00000000" w:rsidRPr="00000000" w14:paraId="00000012">
      <w:pPr>
        <w:numPr>
          <w:ilvl w:val="0"/>
          <w:numId w:val="5"/>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01〜03ヶ月目：リーガル＆ロビー体制の確立、フロントモック完成</w:t>
      </w:r>
    </w:p>
    <w:p w:rsidR="00000000" w:rsidDel="00000000" w:rsidP="00000000" w:rsidRDefault="00000000" w:rsidRPr="00000000" w14:paraId="00000013">
      <w:pPr>
        <w:numPr>
          <w:ilvl w:val="1"/>
          <w:numId w:val="5"/>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$$M1$$</w:t>
        <w:br w:type="textWrapping"/>
        <w:t xml:space="preserve">国内法務・税務部門との最終合意、税務判例（為替差益課税）、全口座区分対応、ミニマムタックス対策、国内損益通算/3年繰越控除、および米国ウォッシュセール規定（30日ルール・責任分解SLA）対応バリデーションの完了、国内「金融庁ルート」の確保。純国産LLM「tsuzumi」のアアウトプット層におけるハード・ガードレール（物理的出力検閲フィルター）の実装。</w:t>
      </w:r>
    </w:p>
    <w:p w:rsidR="00000000" w:rsidDel="00000000" w:rsidP="00000000" w:rsidRDefault="00000000" w:rsidRPr="00000000" w14:paraId="00000014">
      <w:pPr>
        <w:numPr>
          <w:ilvl w:val="1"/>
          <w:numId w:val="5"/>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$$M2$$</w:t>
        <w:br w:type="textWrapping"/>
        <w:t xml:space="preserve">日本版「デジタル副読本（サンドボックス）」のUIモックを完成させ、金融庁へ実証実験（PoC）の正式打診（文書番号：NTT-FSA-2026-001の提出）。</w:t>
      </w:r>
    </w:p>
    <w:p w:rsidR="00000000" w:rsidDel="00000000" w:rsidP="00000000" w:rsidRDefault="00000000" w:rsidRPr="00000000" w14:paraId="00000015">
      <w:pPr>
        <w:numPr>
          <w:ilvl w:val="0"/>
          <w:numId w:val="5"/>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04〜06ヶ月目：Phase 1 PoC開始 ＆ 国内ターゲット選定</w:t>
      </w:r>
    </w:p>
    <w:p w:rsidR="00000000" w:rsidDel="00000000" w:rsidP="00000000" w:rsidRDefault="00000000" w:rsidRPr="00000000" w14:paraId="00000016">
      <w:pPr>
        <w:numPr>
          <w:ilvl w:val="1"/>
          <w:numId w:val="5"/>
        </w:numPr>
        <w:spacing w:after="240" w:lineRule="auto"/>
        <w:ind w:left="1440" w:hanging="360"/>
      </w:pPr>
      <w:r w:rsidDel="00000000" w:rsidR="00000000" w:rsidRPr="00000000">
        <w:rPr>
          <w:rFonts w:ascii="Arial Unicode MS" w:cs="Arial Unicode MS" w:eastAsia="Arial Unicode MS" w:hAnsi="Arial Unicode MS"/>
          <w:rtl w:val="0"/>
        </w:rPr>
        <w:t xml:space="preserve">$$M3$$</w:t>
        <w:br w:type="textWrapping"/>
        <w:t xml:space="preserve">国内リプレース本命となる「ネット証券・メガバンク・信託銀行」への本格的なアプローチを開始し、米国株取引等でのウォッシュセール（Tax-Loss Harvesting）自動制御や全口座区分対応機能を含む3ヶ月間の限定実証実験（PoC）合意を締結。</w:t>
      </w:r>
    </w:p>
    <w:p w:rsidR="00000000" w:rsidDel="00000000" w:rsidP="00000000" w:rsidRDefault="00000000" w:rsidRPr="00000000" w14:paraId="00000017">
      <w:pPr>
        <w:pStyle w:val="Heading4"/>
        <w:keepNext w:val="0"/>
        <w:keepLines w:val="0"/>
        <w:spacing w:after="40" w:before="0" w:lineRule="auto"/>
        <w:ind w:left="720" w:hanging="360"/>
        <w:rPr>
          <w:b w:val="1"/>
          <w:bCs w:val="1"/>
          <w:color w:val="000000"/>
          <w:sz w:val="22"/>
          <w:szCs w:val="22"/>
        </w:rPr>
      </w:pPr>
      <w:bookmarkStart w:colFirst="0" w:colLast="0" w:name="_xpoh1eoqs95i" w:id="5"/>
      <w:bookmarkEnd w:id="5"/>
      <w:r w:rsidDel="00000000" w:rsidR="00000000" w:rsidRPr="00000000">
        <w:rPr>
          <w:rFonts w:ascii="Arial Unicode MS" w:cs="Arial Unicode MS" w:eastAsia="Arial Unicode MS" w:hAnsi="Arial Unicode MS"/>
          <w:b w:val="1"/>
          <w:bCs w:val="1"/>
          <w:color w:val="000000"/>
          <w:sz w:val="22"/>
          <w:szCs w:val="22"/>
          <w:rtl w:val="0"/>
        </w:rPr>
        <w:t xml:space="preserve">【第2期：データ蓄積・エンゲージメント強化期（6ヶ月 〜 1年）】</w:t>
      </w:r>
    </w:p>
    <w:p w:rsidR="00000000" w:rsidDel="00000000" w:rsidP="00000000" w:rsidRDefault="00000000" w:rsidRPr="00000000" w14:paraId="00000018">
      <w:pPr>
        <w:numPr>
          <w:ilvl w:val="0"/>
          <w:numId w:val="2"/>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07〜12ヶ月目：日本国内での実証実験（PoC）執行と検証</w:t>
      </w:r>
    </w:p>
    <w:p w:rsidR="00000000" w:rsidDel="00000000" w:rsidP="00000000" w:rsidRDefault="00000000" w:rsidRPr="00000000" w14:paraId="00000019">
      <w:pPr>
        <w:numPr>
          <w:ilvl w:val="1"/>
          <w:numId w:val="2"/>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$$M4$$</w:t>
        <w:br w:type="textWrapping"/>
        <w:t xml:space="preserve">金融庁提出の実施計画に基づき、国内主要ネット証券およびメガバンクとの共同PoC（第2フェーズ・全口座区分対応のサンドボックス環境）を本格稼働。教育現場および実ユーザーからのフィードバックを収集する。</w:t>
      </w:r>
    </w:p>
    <w:p w:rsidR="00000000" w:rsidDel="00000000" w:rsidP="00000000" w:rsidRDefault="00000000" w:rsidRPr="00000000" w14:paraId="0000001A">
      <w:pPr>
        <w:numPr>
          <w:ilvl w:val="1"/>
          <w:numId w:val="2"/>
        </w:numPr>
        <w:spacing w:after="240" w:lineRule="auto"/>
        <w:ind w:left="1440" w:hanging="360"/>
      </w:pPr>
      <w:r w:rsidDel="00000000" w:rsidR="00000000" w:rsidRPr="00000000">
        <w:rPr>
          <w:rFonts w:ascii="Arial Unicode MS" w:cs="Arial Unicode MS" w:eastAsia="Arial Unicode MS" w:hAnsi="Arial Unicode MS"/>
          <w:rtl w:val="0"/>
        </w:rPr>
        <w:t xml:space="preserve">ハードコードされた非課税・贈与枠の境界値管理（年間110万円/60万円でのアラートおよびホールド制御）、「スマート電子贈与ワークフロー」、全口座区分（一般・特定・NISA）自動税務ルーティング、損益通算＆3年繰越控除計算エンジン、ミニマムタックス平準化シミュレーター、為替差益自動計算（雑所得20万円接近アラート）、米国ウォッシュセール回避ロジック、ガバナンスコンソール（2レイヤー・ホールド）の安全性、および「オープン・プロバイダー・プロトコル」によるマルチ・ブローカー環境の中立性を証明し、金融庁の公認を確定。非識別化されたログデータをセキュアな「LITRON（LITRON CORE）」基盤に非同期リレーし、金融機関側に次世代顧客リテンションの有効性を実証。</w:t>
      </w:r>
    </w:p>
    <w:p w:rsidR="00000000" w:rsidDel="00000000" w:rsidP="00000000" w:rsidRDefault="00000000" w:rsidRPr="00000000" w14:paraId="0000001B">
      <w:pPr>
        <w:pStyle w:val="Heading4"/>
        <w:keepNext w:val="0"/>
        <w:keepLines w:val="0"/>
        <w:spacing w:after="40" w:before="0" w:lineRule="auto"/>
        <w:ind w:left="720" w:hanging="360"/>
        <w:rPr>
          <w:b w:val="1"/>
          <w:bCs w:val="1"/>
          <w:color w:val="000000"/>
          <w:sz w:val="22"/>
          <w:szCs w:val="22"/>
        </w:rPr>
      </w:pPr>
      <w:bookmarkStart w:colFirst="0" w:colLast="0" w:name="_qr6s1yle5ivh" w:id="6"/>
      <w:bookmarkEnd w:id="6"/>
      <w:r w:rsidDel="00000000" w:rsidR="00000000" w:rsidRPr="00000000">
        <w:rPr>
          <w:rFonts w:ascii="Arial Unicode MS" w:cs="Arial Unicode MS" w:eastAsia="Arial Unicode MS" w:hAnsi="Arial Unicode MS"/>
          <w:b w:val="1"/>
          <w:bCs w:val="1"/>
          <w:color w:val="000000"/>
          <w:sz w:val="22"/>
          <w:szCs w:val="22"/>
          <w:rtl w:val="0"/>
        </w:rPr>
        <w:t xml:space="preserve">【第3期：コアインフラ連携・統合提案期（1年 〜 2年）】</w:t>
      </w:r>
    </w:p>
    <w:p w:rsidR="00000000" w:rsidDel="00000000" w:rsidP="00000000" w:rsidRDefault="00000000" w:rsidRPr="00000000" w14:paraId="0000001C">
      <w:pPr>
        <w:numPr>
          <w:ilvl w:val="0"/>
          <w:numId w:val="3"/>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13〜24ヶ月目：コアインフラリプレース（クロージング）の推進</w:t>
      </w:r>
    </w:p>
    <w:p w:rsidR="00000000" w:rsidDel="00000000" w:rsidP="00000000" w:rsidRDefault="00000000" w:rsidRPr="00000000" w14:paraId="0000001D">
      <w:pPr>
        <w:numPr>
          <w:ilvl w:val="1"/>
          <w:numId w:val="3"/>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ライフログおよび高頻度なマルチ口座・外貨・損益通算・取引計算データの蓄積に伴う「データの重力」を背景に、環境跨ぎの通信コストや他社クラウド間との遅延をボトルネックとして経営層に提示。</w:t>
      </w:r>
    </w:p>
    <w:p w:rsidR="00000000" w:rsidDel="00000000" w:rsidP="00000000" w:rsidRDefault="00000000" w:rsidRPr="00000000" w14:paraId="0000001E">
      <w:pPr>
        <w:numPr>
          <w:ilvl w:val="1"/>
          <w:numId w:val="3"/>
        </w:numPr>
        <w:spacing w:after="240" w:lineRule="auto"/>
        <w:ind w:left="1440" w:hanging="360"/>
      </w:pPr>
      <w:r w:rsidDel="00000000" w:rsidR="00000000" w:rsidRPr="00000000">
        <w:rPr>
          <w:rFonts w:ascii="Arial Unicode MS" w:cs="Arial Unicode MS" w:eastAsia="Arial Unicode MS" w:hAnsi="Arial Unicode MS"/>
          <w:rtl w:val="0"/>
        </w:rPr>
        <w:t xml:space="preserve">移行コストのハードルを極小化するため、NTTグループ独自の包括的な移行支援プログラムや最適化ソリューションを投入。本システムのライセンス利益率を「ゼロ（無償提供・最適化）」に設定する戦略的レバレッジ（ドアオープナー仕様）を最大活用し、金融機関の基幹データ・取引システムを、NTTグループが提供する高セキュリティソリューションや次世代情報通信基盤（IOWN等）へ移行・統合させる大規模インフラ契約（リプレース）をクロージングします。</w:t>
      </w:r>
    </w:p>
    <w:p w:rsidR="00000000" w:rsidDel="00000000" w:rsidP="00000000" w:rsidRDefault="00000000" w:rsidRPr="00000000" w14:paraId="0000001F">
      <w:pPr>
        <w:pStyle w:val="Heading3"/>
        <w:keepNext w:val="0"/>
        <w:keepLines w:val="0"/>
        <w:spacing w:before="0" w:lineRule="auto"/>
        <w:ind w:left="720" w:hanging="360"/>
        <w:rPr>
          <w:b w:val="1"/>
          <w:bCs w:val="1"/>
          <w:color w:val="000000"/>
          <w:sz w:val="26"/>
          <w:szCs w:val="26"/>
        </w:rPr>
      </w:pPr>
      <w:bookmarkStart w:colFirst="0" w:colLast="0" w:name="_3zar1m993cua" w:id="7"/>
      <w:bookmarkEnd w:id="7"/>
      <w:r w:rsidDel="00000000" w:rsidR="00000000" w:rsidRPr="00000000">
        <w:rPr>
          <w:rFonts w:ascii="Arial Unicode MS" w:cs="Arial Unicode MS" w:eastAsia="Arial Unicode MS" w:hAnsi="Arial Unicode MS"/>
          <w:b w:val="1"/>
          <w:bCs w:val="1"/>
          <w:color w:val="000000"/>
          <w:sz w:val="26"/>
          <w:szCs w:val="26"/>
          <w:rtl w:val="0"/>
        </w:rPr>
        <w:t xml:space="preserve">4. 経営陣が管理すべき重要ゲートウェイ（マイルストーン）</w:t>
      </w:r>
    </w:p>
    <w:p w:rsidR="00000000" w:rsidDel="00000000" w:rsidP="00000000" w:rsidRDefault="00000000" w:rsidRPr="00000000" w14:paraId="00000020">
      <w:pPr>
        <w:numPr>
          <w:ilvl w:val="0"/>
          <w:numId w:val="1"/>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マイルストーン1（01ヶ月目）：</w:t>
      </w:r>
      <w:r w:rsidDel="00000000" w:rsidR="00000000" w:rsidRPr="00000000">
        <w:rPr>
          <w:rFonts w:ascii="Arial Unicode MS" w:cs="Arial Unicode MS" w:eastAsia="Arial Unicode MS" w:hAnsi="Arial Unicode MS"/>
          <w:rtl w:val="0"/>
        </w:rPr>
        <w:t xml:space="preserve"> 法務・税務部門の最終合意（全口座区分管理、ミニマムタックス、損益通算/3年繰越控除、為替差益課税および米株ウォッシュセールSLA対応含む）、および国内金融庁OBルートの確立（Legal/GR 承認）</w:t>
      </w:r>
    </w:p>
    <w:p w:rsidR="00000000" w:rsidDel="00000000" w:rsidP="00000000" w:rsidRDefault="00000000" w:rsidRPr="00000000" w14:paraId="00000021">
      <w:pPr>
        <w:numPr>
          <w:ilvl w:val="0"/>
          <w:numId w:val="1"/>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マイルストーン2（03ヶ月目）：</w:t>
      </w:r>
      <w:r w:rsidDel="00000000" w:rsidR="00000000" w:rsidRPr="00000000">
        <w:rPr>
          <w:rFonts w:ascii="Arial Unicode MS" w:cs="Arial Unicode MS" w:eastAsia="Arial Unicode MS" w:hAnsi="Arial Unicode MS"/>
          <w:rtl w:val="0"/>
        </w:rPr>
        <w:t xml:space="preserve"> 金融庁への実証実験（PoC）正式打診、および日本版UIモック（マルチ口座・損益通算・ミニマムタックス・為替差益トラッキングエンジン検証含む）完成（技術/GR 承認）</w:t>
      </w:r>
    </w:p>
    <w:p w:rsidR="00000000" w:rsidDel="00000000" w:rsidP="00000000" w:rsidRDefault="00000000" w:rsidRPr="00000000" w14:paraId="00000022">
      <w:pPr>
        <w:numPr>
          <w:ilvl w:val="0"/>
          <w:numId w:val="1"/>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マイルストーン3（06ヶ月目）：</w:t>
      </w:r>
      <w:r w:rsidDel="00000000" w:rsidR="00000000" w:rsidRPr="00000000">
        <w:rPr>
          <w:rFonts w:ascii="Arial Unicode MS" w:cs="Arial Unicode MS" w:eastAsia="Arial Unicode MS" w:hAnsi="Arial Unicode MS"/>
          <w:rtl w:val="0"/>
        </w:rPr>
        <w:t xml:space="preserve"> 国内主要金融機関（ネット証券・メガバンク等）との3ヶ月限定PoC契約締結（ウォッシュセール・マルチ口座制御対応）（Sales/PM 承認）</w:t>
      </w:r>
    </w:p>
    <w:p w:rsidR="00000000" w:rsidDel="00000000" w:rsidP="00000000" w:rsidRDefault="00000000" w:rsidRPr="00000000" w14:paraId="00000023">
      <w:pPr>
        <w:numPr>
          <w:ilvl w:val="0"/>
          <w:numId w:val="1"/>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マイルストーン4（12ヶ月目）：</w:t>
      </w:r>
      <w:r w:rsidDel="00000000" w:rsidR="00000000" w:rsidRPr="00000000">
        <w:rPr>
          <w:rFonts w:ascii="Arial Unicode MS" w:cs="Arial Unicode MS" w:eastAsia="Arial Unicode MS" w:hAnsi="Arial Unicode MS"/>
          <w:rtl w:val="0"/>
        </w:rPr>
        <w:t xml:space="preserve"> 国内6ヶ月間PoCの完了（全口座区分管理・損益通算・ミニマムタックス対策・為替差益自動計算・ウォッシュセール回避・ガバナンス機能の検証完了）、金融庁公認の確定、LTV/リテンションパイプラインの確立（PM/Sponsor 承認）</w:t>
      </w:r>
    </w:p>
    <w:p w:rsidR="00000000" w:rsidDel="00000000" w:rsidP="00000000" w:rsidRDefault="00000000" w:rsidRPr="00000000" w14:paraId="00000024">
      <w:pPr>
        <w:numPr>
          <w:ilvl w:val="0"/>
          <w:numId w:val="1"/>
        </w:numPr>
        <w:spacing w:after="240" w:lineRule="auto"/>
        <w:ind w:left="720" w:hanging="360"/>
      </w:pPr>
      <w:r w:rsidDel="00000000" w:rsidR="00000000" w:rsidRPr="00000000">
        <w:rPr>
          <w:rFonts w:ascii="Arial Unicode MS" w:cs="Arial Unicode MS" w:eastAsia="Arial Unicode MS" w:hAnsi="Arial Unicode MS"/>
          <w:b w:val="1"/>
          <w:bCs w:val="1"/>
          <w:rtl w:val="0"/>
        </w:rPr>
        <w:t xml:space="preserve">マイルストーン5（24ヶ月目）：</w:t>
      </w:r>
      <w:r w:rsidDel="00000000" w:rsidR="00000000" w:rsidRPr="00000000">
        <w:rPr>
          <w:rFonts w:ascii="Arial Unicode MS" w:cs="Arial Unicode MS" w:eastAsia="Arial Unicode MS" w:hAnsi="Arial Unicode MS"/>
          <w:rtl w:val="0"/>
        </w:rPr>
        <w:t xml:space="preserve"> 最低1社以上の NTTグループ次世代コアインフラ（IOWN等）への全面移行および大規模包括契約の締結（Sponsor 承認）</w:t>
      </w:r>
    </w:p>
    <w:p w:rsidR="00000000" w:rsidDel="00000000" w:rsidP="00000000" w:rsidRDefault="00000000" w:rsidRPr="00000000" w14:paraId="00000025">
      <w:pPr>
        <w:spacing w:after="240" w:lineRule="auto"/>
        <w:ind w:left="720" w:firstLine="0"/>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