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rPr>
      </w:pPr>
      <w:bookmarkStart w:colFirst="0" w:colLast="0" w:name="_ud87a5mn0dyf" w:id="0"/>
      <w:bookmarkEnd w:id="0"/>
      <w:r w:rsidDel="00000000" w:rsidR="00000000" w:rsidRPr="00000000">
        <w:rPr>
          <w:rFonts w:ascii="Arial Unicode MS" w:cs="Arial Unicode MS" w:eastAsia="Arial Unicode MS" w:hAnsi="Arial Unicode MS"/>
          <w:b w:val="1"/>
          <w:bCs w:val="1"/>
          <w:rtl w:val="0"/>
        </w:rPr>
        <w:t xml:space="preserve">06_イベント用フロントエンド・モジュール（SECTION 2）：NTTソリューション・エッジ最適化仕様書【v6改訂版】</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fbg9x94wl60b" w:id="1"/>
      <w:bookmarkEnd w:id="1"/>
      <w:r w:rsidDel="00000000" w:rsidR="00000000" w:rsidRPr="00000000">
        <w:rPr>
          <w:rFonts w:ascii="Arial Unicode MS" w:cs="Arial Unicode MS" w:eastAsia="Arial Unicode MS" w:hAnsi="Arial Unicode MS"/>
          <w:b w:val="1"/>
          <w:bCs w:val="1"/>
          <w:color w:val="000000"/>
          <w:sz w:val="26"/>
          <w:szCs w:val="26"/>
          <w:rtl w:val="0"/>
        </w:rPr>
        <w:t xml:space="preserve">1. 本資料の目的</w:t>
      </w:r>
    </w:p>
    <w:p w:rsidR="00000000" w:rsidDel="00000000" w:rsidP="00000000" w:rsidRDefault="00000000" w:rsidRPr="00000000" w14:paraId="00000003">
      <w:pPr>
        <w:spacing w:after="240" w:lineRule="auto"/>
        <w:rPr/>
      </w:pPr>
      <w:r w:rsidDel="00000000" w:rsidR="00000000" w:rsidRPr="00000000">
        <w:rPr>
          <w:rFonts w:ascii="Arial Unicode MS" w:cs="Arial Unicode MS" w:eastAsia="Arial Unicode MS" w:hAnsi="Arial Unicode MS"/>
          <w:rtl w:val="0"/>
        </w:rPr>
        <w:t xml:space="preserve">金融庁主導のイベントや、提携金融機関が実施する大規模な「金融教育キャンペーン（イベント）」の開催時、数万人規模のユーザー（親子）が同時にシステムへアクセスした際、NTTの生成AI基盤（tsuzumi / LITRON）の運用コストを最適化し、かつ金融機関側の既存基幹システムへ負荷を連動させないための堅牢な技術トポロジーを技術幹部に解説します。</w:t>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ou7dr36qlhvp" w:id="2"/>
      <w:bookmarkEnd w:id="2"/>
      <w:r w:rsidDel="00000000" w:rsidR="00000000" w:rsidRPr="00000000">
        <w:rPr>
          <w:rFonts w:ascii="Arial Unicode MS" w:cs="Arial Unicode MS" w:eastAsia="Arial Unicode MS" w:hAnsi="Arial Unicode MS"/>
          <w:b w:val="1"/>
          <w:bCs w:val="1"/>
          <w:color w:val="000000"/>
          <w:sz w:val="26"/>
          <w:szCs w:val="26"/>
          <w:rtl w:val="0"/>
        </w:rPr>
        <w:t xml:space="preserve">2. 想定されるバーストシナリオとリスク</w:t>
      </w:r>
    </w:p>
    <w:p w:rsidR="00000000" w:rsidDel="00000000" w:rsidP="00000000" w:rsidRDefault="00000000" w:rsidRPr="00000000" w14:paraId="00000005">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シナリオ:</w:t>
      </w:r>
      <w:r w:rsidDel="00000000" w:rsidR="00000000" w:rsidRPr="00000000">
        <w:rPr>
          <w:rFonts w:ascii="Arial Unicode MS" w:cs="Arial Unicode MS" w:eastAsia="Arial Unicode MS" w:hAnsi="Arial Unicode MS"/>
          <w:rtl w:val="0"/>
        </w:rPr>
        <w:t xml:space="preserve"> 全国規模の学校授業やキャンペーンイベントにおいて、特定の時間帯に一斉にサンドボックス環境へのログインおよびライフログのシミュレーション（お小遣いタイムトラベル・シミュレータ等）が実行される。</w:t>
      </w:r>
    </w:p>
    <w:p w:rsidR="00000000" w:rsidDel="00000000" w:rsidP="00000000" w:rsidRDefault="00000000" w:rsidRPr="00000000" w14:paraId="00000006">
      <w:pPr>
        <w:numPr>
          <w:ilvl w:val="0"/>
          <w:numId w:val="3"/>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リスク:</w:t>
      </w:r>
      <w:r w:rsidDel="00000000" w:rsidR="00000000" w:rsidRPr="00000000">
        <w:rPr>
          <w:rFonts w:ascii="Arial Unicode MS" w:cs="Arial Unicode MS" w:eastAsia="Arial Unicode MS" w:hAnsi="Arial Unicode MS"/>
          <w:rtl w:val="0"/>
        </w:rPr>
        <w:t xml:space="preserve"> サーバー運用費の予期せぬ高騰、およびトランザクション集中による金融機関の既存基幹システムへの過負荷。</w:t>
      </w:r>
    </w:p>
    <w:p w:rsidR="00000000" w:rsidDel="00000000" w:rsidP="00000000" w:rsidRDefault="00000000" w:rsidRPr="00000000" w14:paraId="00000007">
      <w:pPr>
        <w:pStyle w:val="Heading3"/>
        <w:keepNext w:val="0"/>
        <w:keepLines w:val="0"/>
        <w:spacing w:before="0" w:lineRule="auto"/>
        <w:rPr>
          <w:b w:val="1"/>
          <w:bCs w:val="1"/>
          <w:color w:val="000000"/>
          <w:sz w:val="26"/>
          <w:szCs w:val="26"/>
        </w:rPr>
      </w:pPr>
      <w:bookmarkStart w:colFirst="0" w:colLast="0" w:name="_w3wfjdn8tcyu" w:id="3"/>
      <w:bookmarkEnd w:id="3"/>
      <w:r w:rsidDel="00000000" w:rsidR="00000000" w:rsidRPr="00000000">
        <w:rPr>
          <w:rFonts w:ascii="Arial Unicode MS" w:cs="Arial Unicode MS" w:eastAsia="Arial Unicode MS" w:hAnsi="Arial Unicode MS"/>
          <w:b w:val="1"/>
          <w:bCs w:val="1"/>
          <w:color w:val="000000"/>
          <w:sz w:val="26"/>
          <w:szCs w:val="26"/>
          <w:rtl w:val="0"/>
        </w:rPr>
        <w:t xml:space="preserve">3. エッジ処理を徹底したインフラトポロジー（NTT仕様バースト対策）</w:t>
      </w:r>
    </w:p>
    <w:p w:rsidR="00000000" w:rsidDel="00000000" w:rsidP="00000000" w:rsidRDefault="00000000" w:rsidRPr="00000000" w14:paraId="00000008">
      <w:pPr>
        <w:pStyle w:val="Heading4"/>
        <w:keepNext w:val="0"/>
        <w:keepLines w:val="0"/>
        <w:spacing w:after="40" w:before="0" w:lineRule="auto"/>
        <w:rPr>
          <w:b w:val="1"/>
          <w:bCs w:val="1"/>
          <w:color w:val="000000"/>
          <w:sz w:val="22"/>
          <w:szCs w:val="22"/>
        </w:rPr>
      </w:pPr>
      <w:bookmarkStart w:colFirst="0" w:colLast="0" w:name="_ma9yi93r7iuk" w:id="4"/>
      <w:bookmarkEnd w:id="4"/>
      <w:r w:rsidDel="00000000" w:rsidR="00000000" w:rsidRPr="00000000">
        <w:rPr>
          <w:rFonts w:ascii="Arial Unicode MS" w:cs="Arial Unicode MS" w:eastAsia="Arial Unicode MS" w:hAnsi="Arial Unicode MS"/>
          <w:b w:val="1"/>
          <w:bCs w:val="1"/>
          <w:color w:val="000000"/>
          <w:sz w:val="22"/>
          <w:szCs w:val="22"/>
          <w:rtl w:val="0"/>
        </w:rPr>
        <w:t xml:space="preserve">【① WebAssemblyによる完全スタンドアロンな「エッジ処理」】</w:t>
      </w:r>
    </w:p>
    <w:p w:rsidR="00000000" w:rsidDel="00000000" w:rsidP="00000000" w:rsidRDefault="00000000" w:rsidRPr="00000000" w14:paraId="00000009">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対策内容:</w:t>
      </w:r>
    </w:p>
    <w:p w:rsidR="00000000" w:rsidDel="00000000" w:rsidP="00000000" w:rsidRDefault="00000000" w:rsidRPr="00000000" w14:paraId="0000000A">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SECTION 2のフロントエンドおよびシミュレーションロジック（お小遣いタイムトラベル・シミュレータ等）を「WebAssembly（Wasm）」化し、ユーザーのブラウザ側（エッジ）へ完全配布。</w:t>
      </w:r>
    </w:p>
    <w:p w:rsidR="00000000" w:rsidDel="00000000" w:rsidP="00000000" w:rsidRDefault="00000000" w:rsidRPr="00000000" w14:paraId="0000000B">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初期のフィルタリングと定性解析はユーザー端末のCPUリソースで自己完結させます。小型軽量な「tsuzumi」により、為替差益に伴う雑所得課税リスクやミニマムタックス影響の簡易定性アラート判定等も超低遅延で処理します。</w:t>
      </w:r>
    </w:p>
    <w:p w:rsidR="00000000" w:rsidDel="00000000" w:rsidP="00000000" w:rsidRDefault="00000000" w:rsidRPr="00000000" w14:paraId="0000000C">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効果:</w:t>
      </w:r>
    </w:p>
    <w:p w:rsidR="00000000" w:rsidDel="00000000" w:rsidP="00000000" w:rsidRDefault="00000000" w:rsidRPr="00000000" w14:paraId="0000000D">
      <w:pPr>
        <w:numPr>
          <w:ilvl w:val="1"/>
          <w:numId w:val="1"/>
        </w:numPr>
        <w:spacing w:after="240" w:lineRule="auto"/>
        <w:ind w:left="1440" w:hanging="360"/>
      </w:pPr>
      <w:r w:rsidDel="00000000" w:rsidR="00000000" w:rsidRPr="00000000">
        <w:rPr>
          <w:rFonts w:ascii="Arial Unicode MS" w:cs="Arial Unicode MS" w:eastAsia="Arial Unicode MS" w:hAnsi="Arial Unicode MS"/>
          <w:rtl w:val="0"/>
        </w:rPr>
        <w:t xml:space="preserve">複雑な計算処理をクライアント側で完結させることで、中央サーバーの計算負荷を抑制し、トラフィック高騰による運用コストの爆発を物理的に回避します。</w:t>
      </w:r>
    </w:p>
    <w:p w:rsidR="00000000" w:rsidDel="00000000" w:rsidP="00000000" w:rsidRDefault="00000000" w:rsidRPr="00000000" w14:paraId="0000000E">
      <w:pPr>
        <w:pStyle w:val="Heading4"/>
        <w:keepNext w:val="0"/>
        <w:keepLines w:val="0"/>
        <w:spacing w:after="40" w:before="0" w:lineRule="auto"/>
        <w:rPr>
          <w:b w:val="1"/>
          <w:bCs w:val="1"/>
          <w:color w:val="000000"/>
          <w:sz w:val="22"/>
          <w:szCs w:val="22"/>
        </w:rPr>
      </w:pPr>
      <w:bookmarkStart w:colFirst="0" w:colLast="0" w:name="_9fc9h7f005ru" w:id="5"/>
      <w:bookmarkEnd w:id="5"/>
      <w:r w:rsidDel="00000000" w:rsidR="00000000" w:rsidRPr="00000000">
        <w:rPr>
          <w:rFonts w:ascii="Arial Unicode MS" w:cs="Arial Unicode MS" w:eastAsia="Arial Unicode MS" w:hAnsi="Arial Unicode MS"/>
          <w:b w:val="1"/>
          <w:bCs w:val="1"/>
          <w:color w:val="000000"/>
          <w:sz w:val="22"/>
          <w:szCs w:val="22"/>
          <w:rtl w:val="0"/>
        </w:rPr>
        <w:t xml:space="preserve">【② コンテナ/サーバーレスによるステート管理】</w:t>
      </w:r>
    </w:p>
    <w:p w:rsidR="00000000" w:rsidDel="00000000" w:rsidP="00000000" w:rsidRDefault="00000000" w:rsidRPr="00000000" w14:paraId="0000000F">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対策内容:</w:t>
      </w:r>
    </w:p>
    <w:p w:rsidR="00000000" w:rsidDel="00000000" w:rsidP="00000000" w:rsidRDefault="00000000" w:rsidRPr="00000000" w14:paraId="00000010">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認証や初期セッション管理には、NTTデータが提供する高セキュリティなマネージド基盤およびサーバーレス・コンピューティング技術を採用。</w:t>
      </w:r>
    </w:p>
    <w:p w:rsidR="00000000" w:rsidDel="00000000" w:rsidP="00000000" w:rsidRDefault="00000000" w:rsidRPr="00000000" w14:paraId="00000011">
      <w:pPr>
        <w:numPr>
          <w:ilvl w:val="1"/>
          <w:numId w:val="2"/>
        </w:numPr>
        <w:spacing w:after="240" w:lineRule="auto"/>
        <w:ind w:left="1440" w:hanging="360"/>
      </w:pPr>
      <w:r w:rsidDel="00000000" w:rsidR="00000000" w:rsidRPr="00000000">
        <w:rPr>
          <w:rFonts w:ascii="Arial Unicode MS" w:cs="Arial Unicode MS" w:eastAsia="Arial Unicode MS" w:hAnsi="Arial Unicode MS"/>
          <w:rtl w:val="0"/>
        </w:rPr>
        <w:t xml:space="preserve">秒間数万リクエストの認証・ステート管理をミリ秒単位で吸収し、安定したレスポンスを担保します。</w:t>
      </w:r>
    </w:p>
    <w:p w:rsidR="00000000" w:rsidDel="00000000" w:rsidP="00000000" w:rsidRDefault="00000000" w:rsidRPr="00000000" w14:paraId="00000012">
      <w:pPr>
        <w:pStyle w:val="Heading4"/>
        <w:keepNext w:val="0"/>
        <w:keepLines w:val="0"/>
        <w:spacing w:after="40" w:before="0" w:lineRule="auto"/>
        <w:rPr>
          <w:b w:val="1"/>
          <w:bCs w:val="1"/>
          <w:color w:val="000000"/>
          <w:sz w:val="22"/>
          <w:szCs w:val="22"/>
        </w:rPr>
      </w:pPr>
      <w:bookmarkStart w:colFirst="0" w:colLast="0" w:name="_e405hr2obsbs" w:id="6"/>
      <w:bookmarkEnd w:id="6"/>
      <w:r w:rsidDel="00000000" w:rsidR="00000000" w:rsidRPr="00000000">
        <w:rPr>
          <w:rFonts w:ascii="Arial Unicode MS" w:cs="Arial Unicode MS" w:eastAsia="Arial Unicode MS" w:hAnsi="Arial Unicode MS"/>
          <w:b w:val="1"/>
          <w:bCs w:val="1"/>
          <w:color w:val="000000"/>
          <w:sz w:val="22"/>
          <w:szCs w:val="22"/>
          <w:rtl w:val="0"/>
        </w:rPr>
        <w:t xml:space="preserve">【③ 非同期リレーによるLITRON基盤へのデータ集約（基幹負荷ゼロ＆即時口座バリデーション）】</w:t>
      </w:r>
    </w:p>
    <w:p w:rsidR="00000000" w:rsidDel="00000000" w:rsidP="00000000" w:rsidRDefault="00000000" w:rsidRPr="00000000" w14:paraId="00000013">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対策内容:</w:t>
      </w:r>
    </w:p>
    <w:p w:rsidR="00000000" w:rsidDel="00000000" w:rsidP="00000000" w:rsidRDefault="00000000" w:rsidRPr="00000000" w14:paraId="00000014">
      <w:pPr>
        <w:numPr>
          <w:ilvl w:val="1"/>
          <w:numId w:val="4"/>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エッジ側で定性解析・フィルタリングされた「確度の高いライフログデータ」のみを、金融機関の既存基幹システムへリアルタイム同期せず、ストリーミングデータパイプラインを用いてバッファリング。</w:t>
      </w:r>
    </w:p>
    <w:p w:rsidR="00000000" w:rsidDel="00000000" w:rsidP="00000000" w:rsidRDefault="00000000" w:rsidRPr="00000000" w14:paraId="00000015">
      <w:pPr>
        <w:numPr>
          <w:ilvl w:val="1"/>
          <w:numId w:val="4"/>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その後、NTTのセキュアなデータレイクおよび「LITRON（LITRON CORE）」基盤へ非同期で直接リレー（ストリーミングインジェスト）します。マルチ口座の損益通算、ミニマムタックス計算、米国ウォッシュセール追跡、外貨資産トランザクション（移動平均法／総平均法）のバックエンド計算パイプラインへ接続されます。</w:t>
      </w:r>
    </w:p>
    <w:p w:rsidR="00000000" w:rsidDel="00000000" w:rsidP="00000000" w:rsidRDefault="00000000" w:rsidRPr="00000000" w14:paraId="00000016">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効果:</w:t>
      </w:r>
    </w:p>
    <w:p w:rsidR="00000000" w:rsidDel="00000000" w:rsidP="00000000" w:rsidRDefault="00000000" w:rsidRPr="00000000" w14:paraId="00000017">
      <w:pPr>
        <w:numPr>
          <w:ilvl w:val="1"/>
          <w:numId w:val="4"/>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金融機関の既存基幹システムへリアルタイムの負荷を一切かけないトポロジーを構築。</w:t>
      </w:r>
    </w:p>
    <w:p w:rsidR="00000000" w:rsidDel="00000000" w:rsidP="00000000" w:rsidRDefault="00000000" w:rsidRPr="00000000" w14:paraId="00000018">
      <w:pPr>
        <w:numPr>
          <w:ilvl w:val="1"/>
          <w:numId w:val="4"/>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インフラ運用費を想定内に収めつつ、データの重力（Data Gravity）を形成するためのログ蓄積を安全に実行します。</w:t>
      </w:r>
    </w:p>
    <w:p w:rsidR="00000000" w:rsidDel="00000000" w:rsidP="00000000" w:rsidRDefault="00000000" w:rsidRPr="00000000" w14:paraId="00000019">
      <w:pPr>
        <w:numPr>
          <w:ilvl w:val="1"/>
          <w:numId w:val="4"/>
        </w:numPr>
        <w:spacing w:after="240" w:lineRule="auto"/>
        <w:ind w:left="1440" w:hanging="360"/>
      </w:pPr>
      <w:r w:rsidDel="00000000" w:rsidR="00000000" w:rsidRPr="00000000">
        <w:rPr>
          <w:rFonts w:ascii="Arial Unicode MS" w:cs="Arial Unicode MS" w:eastAsia="Arial Unicode MS" w:hAnsi="Arial Unicode MS"/>
          <w:rtl w:val="0"/>
        </w:rPr>
        <w:t xml:space="preserve">イベント終了時には、非課税枠（暦年贈与110万円 / こどもNISA枠60万円）や</w:t>
      </w:r>
      <w:r w:rsidDel="00000000" w:rsidR="00000000" w:rsidRPr="00000000">
        <w:rPr>
          <w:rFonts w:ascii="Arial Unicode MS" w:cs="Arial Unicode MS" w:eastAsia="Arial Unicode MS" w:hAnsi="Arial Unicode MS"/>
          <w:rtl w:val="0"/>
        </w:rPr>
        <w:t xml:space="preserve">マルチ口座区分（一般・特定・NISA）・損益通算・為替差益自動管理の初期設定</w:t>
      </w:r>
      <w:r w:rsidDel="00000000" w:rsidR="00000000" w:rsidRPr="00000000">
        <w:rPr>
          <w:rFonts w:ascii="Arial Unicode MS" w:cs="Arial Unicode MS" w:eastAsia="Arial Unicode MS" w:hAnsi="Arial Unicode MS"/>
          <w:rtl w:val="0"/>
        </w:rPr>
        <w:t xml:space="preserve">および診断ログを引き継いだショートURL付き即時口座バリデーションを発行し、当該金融機関の新規口座開設フォームへ安全にリダイレクトさせます。</w:t>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