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3eipaaftejuw" w:id="0"/>
      <w:bookmarkEnd w:id="0"/>
      <w:r w:rsidDel="00000000" w:rsidR="00000000" w:rsidRPr="00000000">
        <w:rPr>
          <w:rFonts w:ascii="Arial Unicode MS" w:cs="Arial Unicode MS" w:eastAsia="Arial Unicode MS" w:hAnsi="Arial Unicode MS"/>
          <w:b w:val="1"/>
          <w:bCs w:val="1"/>
          <w:rtl w:val="0"/>
        </w:rPr>
        <w:t xml:space="preserve">07_経営幹部向けプレゼンテーション構成案（NTTインフラ包括契約クロージング仕様）【v6改訂版】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6buttzfby5xe"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NTTグループおよび対象金融機関の経営幹部から、最短で投資承認および事業化承認を勝ち取るための、合計15分〜20分を想定したプレゼンテーションのスライド構成案と各セクションの要点を提示します。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tpvls1hqzsk"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スライド構成案とトーカーズノート骨子</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179ov9i8tu7z" w:id="3"/>
      <w:bookmarkEnd w:id="3"/>
      <w:r w:rsidDel="00000000" w:rsidR="00000000" w:rsidRPr="00000000">
        <w:rPr>
          <w:rFonts w:ascii="Arial Unicode MS" w:cs="Arial Unicode MS" w:eastAsia="Arial Unicode MS" w:hAnsi="Arial Unicode MS"/>
          <w:b w:val="1"/>
          <w:bCs w:val="1"/>
          <w:color w:val="000000"/>
          <w:sz w:val="22"/>
          <w:szCs w:val="22"/>
          <w:rtl w:val="0"/>
        </w:rPr>
        <w:t xml:space="preserve">【01. イントロダクション（想定：1分）】</w:t>
      </w:r>
    </w:p>
    <w:p w:rsidR="00000000" w:rsidDel="00000000" w:rsidP="00000000" w:rsidRDefault="00000000" w:rsidRPr="00000000" w14:paraId="00000006">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次世代親子資産継承型AIプラットフォーム『Tsuzumi Wealth Bridge（TWB）』の展開戦略</w:t>
      </w:r>
    </w:p>
    <w:p w:rsidR="00000000" w:rsidDel="00000000" w:rsidP="00000000" w:rsidRDefault="00000000" w:rsidRPr="00000000" w14:paraId="00000007">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競合クラウド環境に流出している国内金融機関の基幹データ・取引システムを、NTTグループの強固なセキュリティソリューションや次世代情報通信基盤（IOWN等）へ移行・統合させるための強力な戦略的ドアオープナー（ソリューション・フロントドア）の提案。</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n4kyeb9bauk3" w:id="4"/>
      <w:bookmarkEnd w:id="4"/>
      <w:r w:rsidDel="00000000" w:rsidR="00000000" w:rsidRPr="00000000">
        <w:rPr>
          <w:rFonts w:ascii="Arial Unicode MS" w:cs="Arial Unicode MS" w:eastAsia="Arial Unicode MS" w:hAnsi="Arial Unicode MS"/>
          <w:b w:val="1"/>
          <w:bCs w:val="1"/>
          <w:color w:val="000000"/>
          <w:sz w:val="22"/>
          <w:szCs w:val="22"/>
          <w:rtl w:val="0"/>
        </w:rPr>
        <w:t xml:space="preserve">【02. 背景と市場の課題（想定：3分）】</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資産承継期における国内大手金融機関の最大リスク「資産流出（チャーン）」</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団塊の世代からデジタルネイティブ世代（子・孫）への資産移行期におけるアカウント解約・他行還流リスクを提示。高校での「金融経済教育」義務化に対する指導リソース不足や中立性を保たねばならない行政（金融庁）の課題、さらには小額・高頻度な外貨投資や複数口座に跨がる複雑な税務計算（損益通算・ウォッシュセール・ミニマムタックス）の障壁を解説します。</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w07zctb7o5tx" w:id="5"/>
      <w:bookmarkEnd w:id="5"/>
      <w:r w:rsidDel="00000000" w:rsidR="00000000" w:rsidRPr="00000000">
        <w:rPr>
          <w:rFonts w:ascii="Arial Unicode MS" w:cs="Arial Unicode MS" w:eastAsia="Arial Unicode MS" w:hAnsi="Arial Unicode MS"/>
          <w:b w:val="1"/>
          <w:bCs w:val="1"/>
          <w:color w:val="000000"/>
          <w:sz w:val="22"/>
          <w:szCs w:val="22"/>
          <w:rtl w:val="0"/>
        </w:rPr>
        <w:t xml:space="preserve">【03. ソリューション概要（想定：3分）】</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安全なデータガバナンスのもとで親子を繋ぐ純国産金融インフラ</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小型軽量な純国産LLM「tsuzumi」と生成AIソリューション「LITRON（LITRON CORE / LITRON MAS）」を中核としたシステム。子供向け「ライフステージ連動型権限移行（パーミッション・ライフサイクル）」の仕組み、および国内全口座区分（一般・特定・NISA）ルーティング、損益通算・繰越控除、ミニマムタックス平準化、米国ウォッシュセール回避、マルチ為替差益計算エンジンの全自動トラッキング機能をアピールします。</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8qthcwe5ca1g" w:id="6"/>
      <w:bookmarkEnd w:id="6"/>
      <w:r w:rsidDel="00000000" w:rsidR="00000000" w:rsidRPr="00000000">
        <w:rPr>
          <w:rFonts w:ascii="Arial Unicode MS" w:cs="Arial Unicode MS" w:eastAsia="Arial Unicode MS" w:hAnsi="Arial Unicode MS"/>
          <w:b w:val="1"/>
          <w:bCs w:val="1"/>
          <w:color w:val="000000"/>
          <w:sz w:val="22"/>
          <w:szCs w:val="22"/>
          <w:rtl w:val="0"/>
        </w:rPr>
        <w:t xml:space="preserve">【04. ビジネスモデルとインフラ包括リプレース戦略（想定：4分）】</w:t>
      </w:r>
    </w:p>
    <w:p w:rsidR="00000000" w:rsidDel="00000000" w:rsidP="00000000" w:rsidRDefault="00000000" w:rsidRPr="00000000" w14:paraId="0000000F">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データの重力（Data Gravity）をレバレッジとしたNTTインフラ統合モデル</w:t>
      </w:r>
    </w:p>
    <w:p w:rsidR="00000000" w:rsidDel="00000000" w:rsidP="00000000" w:rsidRDefault="00000000" w:rsidRPr="00000000" w14:paraId="00000010">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TWBのライセンス利益率を戦略的に最適化（無償提供・低価格化）してフロントドアとして提示。日々のライフログや高頻度な取引・税務計算データがNTT側のセキュア基盤へ蓄積されることで「データの重力場」を形成。環境跨ぎの通信コストや遅延を解決する合理性を背景に、金融機関の基幹システムそのものをNTTの次世代情報通信基盤（IOWN等）へ一元統合させるクロージングシナリオを提示します。</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ros2wd8qewcy" w:id="7"/>
      <w:bookmarkEnd w:id="7"/>
      <w:r w:rsidDel="00000000" w:rsidR="00000000" w:rsidRPr="00000000">
        <w:rPr>
          <w:rFonts w:ascii="Arial Unicode MS" w:cs="Arial Unicode MS" w:eastAsia="Arial Unicode MS" w:hAnsi="Arial Unicode MS"/>
          <w:b w:val="1"/>
          <w:bCs w:val="1"/>
          <w:color w:val="000000"/>
          <w:sz w:val="22"/>
          <w:szCs w:val="22"/>
          <w:rtl w:val="0"/>
        </w:rPr>
        <w:t xml:space="preserve">【05. ガバナンス＆リーガル・税務ガードレール（想定：3分）】</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コンプライアンス・税務リスクをシステムレベルで完全カプセル化する多重の安全弁</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金融商品取引法を完全にクリアする、tsuzumiアウトプット層での「特定個別銘柄の推奨排除・物理ガードレール（出力検閲ロック）」。</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こどもNISA制度における「成長投資枠（個別株等）」の物理遮断とつみたて投資枠対象商品への限定フィルタ。</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税務境界値（暦年贈与110万円枠 / こどもNISA枠60万円）のバウンダリ管理（接近時の事前アラート＆超過時の自動ホールド・専門動線ルーティング）。</w:t>
      </w:r>
    </w:p>
    <w:p w:rsidR="00000000" w:rsidDel="00000000" w:rsidP="00000000" w:rsidRDefault="00000000" w:rsidRPr="00000000" w14:paraId="0000001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全証券口座区分＆損益通算・3年繰越控除エンジン:</w:t>
      </w:r>
      <w:r w:rsidDel="00000000" w:rsidR="00000000" w:rsidRPr="00000000">
        <w:rPr>
          <w:rFonts w:ascii="Arial Unicode MS" w:cs="Arial Unicode MS" w:eastAsia="Arial Unicode MS" w:hAnsi="Arial Unicode MS"/>
          <w:rtl w:val="0"/>
        </w:rPr>
        <w:t xml:space="preserve"> 一般・特定・NISA口座間の損益集計と繰越控除適用時の節税効果を全自動試算。</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ミニマムタックス（最低30%課税）対策:</w:t>
      </w:r>
      <w:r w:rsidDel="00000000" w:rsidR="00000000" w:rsidRPr="00000000">
        <w:rPr>
          <w:rFonts w:ascii="Arial Unicode MS" w:cs="Arial Unicode MS" w:eastAsia="Arial Unicode MS" w:hAnsi="Arial Unicode MS"/>
          <w:rtl w:val="0"/>
        </w:rPr>
        <w:t xml:space="preserve"> 富裕層・高額所得者の課税強化動向をシステム監視し、確定申告前の税率平準化シミュレーションを実行。</w:t>
      </w:r>
    </w:p>
    <w:p w:rsidR="00000000" w:rsidDel="00000000" w:rsidP="00000000" w:rsidRDefault="00000000" w:rsidRPr="00000000" w14:paraId="00000019">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米国ウォッシュセール（61日間追跡）自動判定:</w:t>
      </w:r>
      <w:r w:rsidDel="00000000" w:rsidR="00000000" w:rsidRPr="00000000">
        <w:rPr>
          <w:rFonts w:ascii="Arial Unicode MS" w:cs="Arial Unicode MS" w:eastAsia="Arial Unicode MS" w:hAnsi="Arial Unicode MS"/>
          <w:rtl w:val="0"/>
        </w:rPr>
        <w:t xml:space="preserve"> 同一・同種銘柄の買い戻しによる損失否認リスクのリアルタイム検知と代替銘柄への自動スワップ提案。</w:t>
      </w:r>
    </w:p>
    <w:p w:rsidR="00000000" w:rsidDel="00000000" w:rsidP="00000000" w:rsidRDefault="00000000" w:rsidRPr="00000000" w14:paraId="0000001A">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最高裁判決対応「為替差益自動トラッキング＆雑所得検知モジュール」:</w:t>
      </w:r>
      <w:r w:rsidDel="00000000" w:rsidR="00000000" w:rsidRPr="00000000">
        <w:rPr>
          <w:rFonts w:ascii="Arial Unicode MS" w:cs="Arial Unicode MS" w:eastAsia="Arial Unicode MS" w:hAnsi="Arial Unicode MS"/>
          <w:rtl w:val="0"/>
        </w:rPr>
        <w:t xml:space="preserve"> 外貨資産（米株等）の売却・乗り換えに伴う平均取得単価（移動平均法／総平均法）をLITRON COREがミリ秒単位で算定し、20万円手前で事前アラート発出。</w:t>
      </w:r>
    </w:p>
    <w:p w:rsidR="00000000" w:rsidDel="00000000" w:rsidP="00000000" w:rsidRDefault="00000000" w:rsidRPr="00000000" w14:paraId="0000001B">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LITRON COREによるスマート電子贈与プロトコル（電子署名・タイムスタンプ、ゆらぎ制御、目的別タグ付け）による定期贈与・名義預金リスクの排除。</w:t>
      </w:r>
    </w:p>
    <w:p w:rsidR="00000000" w:rsidDel="00000000" w:rsidP="00000000" w:rsidRDefault="00000000" w:rsidRPr="00000000" w14:paraId="0000001C">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行政への完全な中立性を担保する『オープン・プロバイダー・プロトコル』の実装。</w:t>
      </w:r>
    </w:p>
    <w:p w:rsidR="00000000" w:rsidDel="00000000" w:rsidP="00000000" w:rsidRDefault="00000000" w:rsidRPr="00000000" w14:paraId="0000001D">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地政学リスク、行政指導、</w:t>
      </w:r>
      <w:r w:rsidDel="00000000" w:rsidR="00000000" w:rsidRPr="00000000">
        <w:rPr>
          <w:rFonts w:ascii="Arial Unicode MS" w:cs="Arial Unicode MS" w:eastAsia="Arial Unicode MS" w:hAnsi="Arial Unicode MS"/>
          <w:b w:val="1"/>
          <w:bCs w:val="1"/>
          <w:rtl w:val="0"/>
        </w:rPr>
        <w:t xml:space="preserve">最高裁判決・ミニマムタックス等の税制変更に伴う課税ガイドラインの改定</w:t>
      </w:r>
      <w:r w:rsidDel="00000000" w:rsidR="00000000" w:rsidRPr="00000000">
        <w:rPr>
          <w:rFonts w:ascii="Arial Unicode MS" w:cs="Arial Unicode MS" w:eastAsia="Arial Unicode MS" w:hAnsi="Arial Unicode MS"/>
          <w:rtl w:val="0"/>
        </w:rPr>
        <w:t xml:space="preserve">等に対し、AIの誤作動を排除し免責構造を死守する「セミオート・レギュラトリー・ゲートウェイ（LITRON MASを活用した、コンプライアンス責任者による手動承認ワークフロー）」。</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pyifjd11oqi8" w:id="8"/>
      <w:bookmarkEnd w:id="8"/>
      <w:r w:rsidDel="00000000" w:rsidR="00000000" w:rsidRPr="00000000">
        <w:rPr>
          <w:rFonts w:ascii="Arial Unicode MS" w:cs="Arial Unicode MS" w:eastAsia="Arial Unicode MS" w:hAnsi="Arial Unicode MS"/>
          <w:b w:val="1"/>
          <w:bCs w:val="1"/>
          <w:color w:val="000000"/>
          <w:sz w:val="22"/>
          <w:szCs w:val="22"/>
          <w:rtl w:val="0"/>
        </w:rPr>
        <w:t xml:space="preserve">【06. 結論とロードマップ（想定：1分）】</w:t>
      </w:r>
    </w:p>
    <w:p w:rsidR="00000000" w:rsidDel="00000000" w:rsidP="00000000" w:rsidRDefault="00000000" w:rsidRPr="00000000" w14:paraId="0000001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スライドタイトル:</w:t>
      </w:r>
      <w:r w:rsidDel="00000000" w:rsidR="00000000" w:rsidRPr="00000000">
        <w:rPr>
          <w:rFonts w:ascii="Arial Unicode MS" w:cs="Arial Unicode MS" w:eastAsia="Arial Unicode MS" w:hAnsi="Arial Unicode MS"/>
          <w:rtl w:val="0"/>
        </w:rPr>
        <w:t xml:space="preserve"> 日本市場におけるマイルストーンと承認直後の初動アクション</w:t>
      </w:r>
    </w:p>
    <w:p w:rsidR="00000000" w:rsidDel="00000000" w:rsidP="00000000" w:rsidRDefault="00000000" w:rsidRPr="00000000" w14:paraId="00000020">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Phase 1（イベント用フロントエンド）からPhase 2（基幹組込みシステム）への確実な展開ロードマップ。承認後24時間以内に即時始動する初動タスク（法務・GR体制の確立、遵守誓約書の提出）への決裁を要求します。</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