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vahxffh0awws" w:id="0"/>
      <w:bookmarkEnd w:id="0"/>
      <w:r w:rsidDel="00000000" w:rsidR="00000000" w:rsidRPr="00000000">
        <w:rPr>
          <w:rFonts w:ascii="Arial Unicode MS" w:cs="Arial Unicode MS" w:eastAsia="Arial Unicode MS" w:hAnsi="Arial Unicode MS"/>
          <w:b w:val="1"/>
          <w:bCs w:val="1"/>
          <w:rtl w:val="0"/>
        </w:rPr>
        <w:t xml:space="preserve">08_想定質疑応答（Q&amp;A）（NTTインフラ包括・ガバナンス仕様）【v6改訂版】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dhjnavcjm1oc"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プレゼンテーション後の質疑応答において、自社（NTTグループ）および提携金融機関の経営幹部から投げかけられる可能性が高い質問に対するベストな回答ロジック（模範解答）を事前に共有し、プロジェクトの承認獲得を確実にする。</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rm6en2iibren"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想定質問と模範回答</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uh0huaassidm" w:id="3"/>
      <w:bookmarkEnd w:id="3"/>
      <w:r w:rsidDel="00000000" w:rsidR="00000000" w:rsidRPr="00000000">
        <w:rPr>
          <w:rFonts w:ascii="Arial Unicode MS" w:cs="Arial Unicode MS" w:eastAsia="Arial Unicode MS" w:hAnsi="Arial Unicode MS"/>
          <w:b w:val="1"/>
          <w:bCs w:val="1"/>
          <w:color w:val="000000"/>
          <w:sz w:val="22"/>
          <w:szCs w:val="22"/>
          <w:rtl w:val="0"/>
        </w:rPr>
        <w:t xml:space="preserve">【質問1：なぜ、ライセンスや直接の収益（ライセンス料）を生まない「体験型デジタルサンドボックス環境（TWB）」を、金融機関に対して無償または戦略的低価格で提供するケースがあるのか？このフリーミアム戦略の本当の狙いと回収モデルは？】</w:t>
      </w:r>
    </w:p>
    <w:p w:rsidR="00000000" w:rsidDel="00000000" w:rsidP="00000000" w:rsidRDefault="00000000" w:rsidRPr="00000000" w14:paraId="0000000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模範回答:</w:t>
      </w:r>
    </w:p>
    <w:p w:rsidR="00000000" w:rsidDel="00000000" w:rsidP="00000000" w:rsidRDefault="00000000" w:rsidRPr="00000000" w14:paraId="00000007">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本プラットフォームは、競合のメガクラウド環境等に流出している大手金融機関の高価値なコアインフラ契約を、NTTグループへリプレースさせるための戦略的な『ドアオープナー（ソリューション・フロントドア）』です。</w:t>
      </w:r>
    </w:p>
    <w:p w:rsidR="00000000" w:rsidDel="00000000" w:rsidP="00000000" w:rsidRDefault="00000000" w:rsidRPr="00000000" w14:paraId="00000008">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フロントUIのライセンス利益率を最適化することで金融機関の導入ハードルをゼロにし、金融庁ルートや教育現場（高校）を通じて国内へ急速に浸透させます。私たちのコアマネタイズは、フロントの単体利用料ではなく、日々の生活ログや高頻度な取引・税務計算データがNTT側のセキュア基盤へ蓄積されることによって発生する、ダウンストリームのNTTグループインフラ包括利用への波及効果にあります。</w:t>
      </w:r>
    </w:p>
    <w:p w:rsidR="00000000" w:rsidDel="00000000" w:rsidP="00000000" w:rsidRDefault="00000000" w:rsidRPr="00000000" w14:paraId="00000009">
      <w:pPr>
        <w:numPr>
          <w:ilvl w:val="1"/>
          <w:numId w:val="4"/>
        </w:numPr>
        <w:spacing w:after="240" w:lineRule="auto"/>
        <w:ind w:left="1440" w:hanging="360"/>
      </w:pPr>
      <w:r w:rsidDel="00000000" w:rsidR="00000000" w:rsidRPr="00000000">
        <w:rPr>
          <w:rFonts w:ascii="Arial Unicode MS" w:cs="Arial Unicode MS" w:eastAsia="Arial Unicode MS" w:hAnsi="Arial Unicode MS"/>
          <w:rtl w:val="0"/>
        </w:rPr>
        <w:t xml:space="preserve">データが溜まるほどに『データの重力（Data Gravity）』の力学が働き、他社クラウドとの環境跨ぎのデータ転送コストや通信遅延が金融機関側のボトルネックとして顕在化します。最終的に金融機関側がコアインフラを一元統合せざるを得ない構造を作ることで、NTTグループが提供する高セキュリティソリューションや次世代情報通信基盤（IOWN等）への大規模なリプレースをクロージングし、移行後の巨大な包括ストック収益として投資対効果（ROI）を劇的に回収します。」</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iesa1ta9x56q" w:id="4"/>
      <w:bookmarkEnd w:id="4"/>
      <w:r w:rsidDel="00000000" w:rsidR="00000000" w:rsidRPr="00000000">
        <w:rPr>
          <w:rFonts w:ascii="Arial Unicode MS" w:cs="Arial Unicode MS" w:eastAsia="Arial Unicode MS" w:hAnsi="Arial Unicode MS"/>
          <w:b w:val="1"/>
          <w:bCs w:val="1"/>
          <w:color w:val="000000"/>
          <w:sz w:val="22"/>
          <w:szCs w:val="22"/>
          <w:rtl w:val="0"/>
        </w:rPr>
        <w:t xml:space="preserve">【質問2：AIによる特定銘柄の推奨（投資助言規制違反）や、生前贈与・NISA・各種口座での意図せぬ課税・制度違反発生（税務・コンプライアンスエラー）など、利用者や行政から苦情・訴訟リスクが発生した場合、当社（NTTグループ）の責任問題はどうなるのか？】</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模範回答:</w:t>
      </w:r>
    </w:p>
    <w:p w:rsidR="00000000" w:rsidDel="00000000" w:rsidP="00000000" w:rsidRDefault="00000000" w:rsidRPr="00000000" w14:paraId="0000000C">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「それらの法的・税務的リスクは、システムレイヤーにおいて物理的ガードレール（ロック）をかけることで完全にカプセル化（隔離）しています。</w:t>
      </w:r>
    </w:p>
    <w:p w:rsidR="00000000" w:rsidDel="00000000" w:rsidP="00000000" w:rsidRDefault="00000000" w:rsidRPr="00000000" w14:paraId="0000000D">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第1に、金融商品取引法（投資助言）への対策として、純国産LLM『tsuzumi』のアウトプット層に『特定個別銘柄の推奨』や『断定的利益の約束』を絶対に吐き出させない『物理的なハード・ガードレール（出力検閲ロック）』を完全実装しています。</w:t>
      </w:r>
    </w:p>
    <w:p w:rsidR="00000000" w:rsidDel="00000000" w:rsidP="00000000" w:rsidRDefault="00000000" w:rsidRPr="00000000" w14:paraId="0000000E">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第2に、こどもNISA制度適合のため、個別株等の『成長投資枠』をハードコードで物理遮断し、つみたて投資枠対象商品のみに限定しています。</w:t>
      </w:r>
    </w:p>
    <w:p w:rsidR="00000000" w:rsidDel="00000000" w:rsidP="00000000" w:rsidRDefault="00000000" w:rsidRPr="00000000" w14:paraId="0000000F">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第3に、日本の税制および最高裁判例への対策として、暦年贈与の年間110万円およびこどもNISA枠年間60万円を絶対境界値としてシステム上に厳格にハードコードし、超過トランザクションを自動ホールド（物理ロック）します。さらに、全証券口座区分（一般・特定・NISA）の自動ルーティング、複数口座間の『損益通算・3年繰越控除』、富裕層向け『ミニマムタックス（最低30%課税）』接近判定、米国株の『61日間ウォッシュセール（30日ルール）』回避、および個人投資家が管理不能なほど煩雑化する『為替差益（雑所得）』を、LITRON COREがミリ秒単位でリアルタイム全自動算定し、確定申告ラインに接近した段階で事前アラートを発出・確定申告用サポートデータを自動生成することで、追徴課税や税務エラーを未然に防ぎます。加えてLITRON COREによるスマート電子贈与ワークフローにより、定期贈与認定や名義預金認定リスクを根本から排除します。</w:t>
      </w:r>
    </w:p>
    <w:p w:rsidR="00000000" w:rsidDel="00000000" w:rsidP="00000000" w:rsidRDefault="00000000" w:rsidRPr="00000000" w14:paraId="00000010">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全ての最終的な法的責任や利用規約上の免責事項は、フロントに立つ金融機関の既存の免責・コンプライアンスレイヤーに完全に準拠させるため、当社へ直接的なリーガルリスクが及ぶことはありません。」</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8n3e3ujqt7z" w:id="5"/>
      <w:bookmarkEnd w:id="5"/>
      <w:r w:rsidDel="00000000" w:rsidR="00000000" w:rsidRPr="00000000">
        <w:rPr>
          <w:rFonts w:ascii="Arial Unicode MS" w:cs="Arial Unicode MS" w:eastAsia="Arial Unicode MS" w:hAnsi="Arial Unicode MS"/>
          <w:b w:val="1"/>
          <w:bCs w:val="1"/>
          <w:color w:val="000000"/>
          <w:sz w:val="22"/>
          <w:szCs w:val="22"/>
          <w:rtl w:val="0"/>
        </w:rPr>
        <w:t xml:space="preserve">【質問3：中立性を隠れ蓑にしたインフラ一元統合（NTTインフラリプレース）が本音であるとリークした場合、当局（金融庁）の信頼を失うのではないか？】</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模範回答:</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そのリスクはプロジェクト展開における最重要ガバナンス項目です。現場のBizDevや営業が移行を導入の絶対条件とすることは厳禁とし、あくまで『純国産AIのリアルタイム解析性能を100%発揮し、TCOを最適化するための推奨インフラがNTTソリューションである』という、技術的・経済的ROIに基づく合理的な提案を徹底します。</w:t>
      </w:r>
    </w:p>
    <w:p w:rsidR="00000000" w:rsidDel="00000000" w:rsidP="00000000" w:rsidRDefault="00000000" w:rsidRPr="00000000" w14:paraId="00000014">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また、金融庁や行政に対する中立性を100%厳守するため、実際の口座開設フォームへリダイレクトするフロント動線は、金融庁の『認可業者リスト』から客観的に複数選択肢を提示する『オープン・プロバイダー・プロトコル』をシステム実装します。</w:t>
      </w:r>
    </w:p>
    <w:p w:rsidR="00000000" w:rsidDel="00000000" w:rsidP="00000000" w:rsidRDefault="00000000" w:rsidRPr="00000000" w14:paraId="00000015">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結果として、高セキュリティな同一環境内での低遅延データ連携や高度なデータガバナンスといった『実質的な安全性・快適性』というメリットを武器に、金融機関が自発的に最適なインフラとしてNTTグループへの一元統合を選択する環境を構築します。」</w:t>
      </w:r>
    </w:p>
    <w:p w:rsidR="00000000" w:rsidDel="00000000" w:rsidP="00000000" w:rsidRDefault="00000000" w:rsidRPr="00000000" w14:paraId="00000016">
      <w:pPr>
        <w:pStyle w:val="Heading4"/>
        <w:keepNext w:val="0"/>
        <w:keepLines w:val="0"/>
        <w:spacing w:after="40" w:before="0" w:lineRule="auto"/>
        <w:rPr>
          <w:b w:val="1"/>
          <w:bCs w:val="1"/>
          <w:color w:val="000000"/>
          <w:sz w:val="22"/>
          <w:szCs w:val="22"/>
        </w:rPr>
      </w:pPr>
      <w:bookmarkStart w:colFirst="0" w:colLast="0" w:name="_pira0zmiqz3n" w:id="6"/>
      <w:bookmarkEnd w:id="6"/>
      <w:r w:rsidDel="00000000" w:rsidR="00000000" w:rsidRPr="00000000">
        <w:rPr>
          <w:rFonts w:ascii="Arial Unicode MS" w:cs="Arial Unicode MS" w:eastAsia="Arial Unicode MS" w:hAnsi="Arial Unicode MS"/>
          <w:b w:val="1"/>
          <w:bCs w:val="1"/>
          <w:color w:val="000000"/>
          <w:sz w:val="22"/>
          <w:szCs w:val="22"/>
          <w:rtl w:val="0"/>
        </w:rPr>
        <w:t xml:space="preserve">【質問4：無料ツール（TWB）をフックに他社クラウドからシェアを奪う戦略は、日本の独占禁止法上、競合のメガクラウドベンダー等から不当排除や抱き合わせ等で訴訟を起こされるリスクはないか？リーガルとしての見解（法的防衛エビデンス）は？】</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模範回答:</w:t>
      </w:r>
    </w:p>
    <w:p w:rsidR="00000000" w:rsidDel="00000000" w:rsidP="00000000" w:rsidRDefault="00000000" w:rsidRPr="00000000" w14:paraId="0000001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「結論から申し上げますと、訴訟の法的根拠は構造的に完全に消滅（カプセル化）されています。</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第1に、本システムは契約条件として他社クラウドの解約を一切義務付けていません。ホワイトリストにあるすべての金融機関が標準プロトコルで接続できる環境を維持しているため、法的な『抱き合わせ』や『取引拒絶』の構成要件には該当しません。</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第2に、フロントのUIは前述の『オープン・プロバイダー・プロトコル』により完全な客観的中立表示を行います。さらに、万が一特定の金融機関に行政指導が下ったり、最高裁判決・ミニマムタックス等の税制変更・マクロリスクを検知した際には、コンプライアンス責任者の手動承認を経て一時的にセミオートで除外・非表示にする制御ロジック（LITRON MASを活用したセミオート・レギュラトリー・ゲートウェイ）を組み込んでいます。</w:t>
      </w:r>
    </w:p>
    <w:p w:rsidR="00000000" w:rsidDel="00000000" w:rsidP="00000000" w:rsidRDefault="00000000" w:rsidRPr="00000000" w14:paraId="0000001B">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これらは正当な『技術の質的向上および安全性の担保に伴う競争』と定義されるため、競合が法的手段に訴えることは不可能です。」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