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es43bhpklhz1" w:id="0"/>
      <w:bookmarkEnd w:id="0"/>
      <w:r w:rsidDel="00000000" w:rsidR="00000000" w:rsidRPr="00000000">
        <w:rPr>
          <w:rFonts w:ascii="Arial Unicode MS" w:cs="Arial Unicode MS" w:eastAsia="Arial Unicode MS" w:hAnsi="Arial Unicode MS"/>
          <w:b w:val="1"/>
          <w:bCs w:val="1"/>
          <w:rtl w:val="0"/>
        </w:rPr>
        <w:t xml:space="preserve">09_事業計画の査察・防衛ロジック（NTTインフラ包括・ガバナンス仕様）【v6改訂版】</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8yjler2vf958"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「無償提供」に対するCFOの懸念</w:t>
      </w:r>
    </w:p>
    <w:p w:rsidR="00000000" w:rsidDel="00000000" w:rsidP="00000000" w:rsidRDefault="00000000" w:rsidRPr="00000000" w14:paraId="00000003">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懸念:</w:t>
      </w:r>
      <w:r w:rsidDel="00000000" w:rsidR="00000000" w:rsidRPr="00000000">
        <w:rPr>
          <w:rFonts w:ascii="Arial Unicode MS" w:cs="Arial Unicode MS" w:eastAsia="Arial Unicode MS" w:hAnsi="Arial Unicode MS"/>
          <w:rtl w:val="0"/>
        </w:rPr>
        <w:t xml:space="preserve"> 初期投資および年間維持費を「利益率ゼロ（無償または戦略的低価格）」で配れば大赤字になるのではないか？</w:t>
      </w:r>
    </w:p>
    <w:p w:rsidR="00000000" w:rsidDel="00000000" w:rsidP="00000000" w:rsidRDefault="00000000" w:rsidRPr="00000000" w14:paraId="00000004">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回答:</w:t>
      </w:r>
    </w:p>
    <w:p w:rsidR="00000000" w:rsidDel="00000000" w:rsidP="00000000" w:rsidRDefault="00000000" w:rsidRPr="00000000" w14:paraId="00000005">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本戦略の本質は、フロントアプリケーション単体での利益回収ではなく、「データ重力（Data Gravity）によるインフラの強制リプレース戦略」にあります。</w:t>
      </w:r>
    </w:p>
    <w:p w:rsidR="00000000" w:rsidDel="00000000" w:rsidP="00000000" w:rsidRDefault="00000000" w:rsidRPr="00000000" w14:paraId="00000006">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顧客のライフログや資産シミュレーションデータに加え、</w:t>
      </w:r>
      <w:r w:rsidDel="00000000" w:rsidR="00000000" w:rsidRPr="00000000">
        <w:rPr>
          <w:rFonts w:ascii="Arial Unicode MS" w:cs="Arial Unicode MS" w:eastAsia="Arial Unicode MS" w:hAnsi="Arial Unicode MS"/>
          <w:b w:val="1"/>
          <w:bCs w:val="1"/>
          <w:rtl w:val="0"/>
        </w:rPr>
        <w:t xml:space="preserve">一般・特定・NISA等の全口座区分管理ログ、損益通算・3年繰越控除試算ログ、ミニマムタックス判定データ、米国ウォッシュセール追跡データ、および外貨資産（米株等）の積立・乗り換えに伴う高頻度な為替差益計算（移動平均法／総平均法）ログ</w:t>
      </w:r>
      <w:r w:rsidDel="00000000" w:rsidR="00000000" w:rsidRPr="00000000">
        <w:rPr>
          <w:rFonts w:ascii="Arial Unicode MS" w:cs="Arial Unicode MS" w:eastAsia="Arial Unicode MS" w:hAnsi="Arial Unicode MS"/>
          <w:rtl w:val="0"/>
        </w:rPr>
        <w:t xml:space="preserve">がNTT側のセキュア基盤へ蓄積されるほど「データ資産（重力場）」が増大します。これにより、競合クラウドとの間で発生する環境跨ぎのデータ転送コスト（Egress料金）やマルチクラウド間の通信遅延が、金融機関側の明確な経営ボトルネックとして顕在化します。</w:t>
      </w:r>
    </w:p>
    <w:p w:rsidR="00000000" w:rsidDel="00000000" w:rsidP="00000000" w:rsidRDefault="00000000" w:rsidRPr="00000000" w14:paraId="00000007">
      <w:pPr>
        <w:numPr>
          <w:ilvl w:val="1"/>
          <w:numId w:val="4"/>
        </w:numPr>
        <w:spacing w:after="240" w:lineRule="auto"/>
        <w:ind w:left="1440" w:hanging="360"/>
      </w:pPr>
      <w:r w:rsidDel="00000000" w:rsidR="00000000" w:rsidRPr="00000000">
        <w:rPr>
          <w:rFonts w:ascii="Arial Unicode MS" w:cs="Arial Unicode MS" w:eastAsia="Arial Unicode MS" w:hAnsi="Arial Unicode MS"/>
          <w:rtl w:val="0"/>
        </w:rPr>
        <w:t xml:space="preserve">結果として、「基幹データや取引システムごとNTTのセキュアソリューションや次世代情報通信基盤（IOWN等）へ移行・統合した方が、総所有コスト（TCO）を劇的に削減でき、国産AI（tsuzumi等）による税務・取引解析処理も大幅に高速化する」という経営判断（ROI）を金融機関自らが下す構造を設計しています。フロントドアをレバレッジとし、ダウンストリームの大規模インフラ包括契約で莫大なリカーリングレベニューを回収します。</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myjrj9xwo63b"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「中立性」に対する金融庁・リーガル面の突っ込み</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懸念:</w:t>
      </w:r>
      <w:r w:rsidDel="00000000" w:rsidR="00000000" w:rsidRPr="00000000">
        <w:rPr>
          <w:rFonts w:ascii="Arial Unicode MS" w:cs="Arial Unicode MS" w:eastAsia="Arial Unicode MS" w:hAnsi="Arial Unicode MS"/>
          <w:rtl w:val="0"/>
        </w:rPr>
        <w:t xml:space="preserve"> 特定のネット証券やメガバンクに利益誘導するシステムは、行政の中立性の壁や国内の独占禁止法に阻まれるのではないか？</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回答:</w:t>
      </w:r>
    </w:p>
    <w:p w:rsidR="00000000" w:rsidDel="00000000" w:rsidP="00000000" w:rsidRDefault="00000000" w:rsidRPr="00000000" w14:paraId="0000000B">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独占禁止法および行政の中立性制約を100%クリアするため、システム側に「オープン・プロバイダー・プロトコル（マルチ・ブローカー・プラットフォーム）」を実装しています。</w:t>
      </w:r>
    </w:p>
    <w:p w:rsidR="00000000" w:rsidDel="00000000" w:rsidP="00000000" w:rsidRDefault="00000000" w:rsidRPr="00000000" w14:paraId="0000000C">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実際の口座開設等へ遷移する動線は特定の1社に固定せず、金融庁の認可業者リストに基づく複数選択制（完全中立）を徹底します。</w:t>
      </w:r>
    </w:p>
    <w:p w:rsidR="00000000" w:rsidDel="00000000" w:rsidP="00000000" w:rsidRDefault="00000000" w:rsidRPr="00000000" w14:paraId="0000000D">
      <w:pPr>
        <w:numPr>
          <w:ilvl w:val="1"/>
          <w:numId w:val="2"/>
        </w:numPr>
        <w:spacing w:after="240" w:lineRule="auto"/>
        <w:ind w:left="1440" w:hanging="360"/>
      </w:pPr>
      <w:r w:rsidDel="00000000" w:rsidR="00000000" w:rsidRPr="00000000">
        <w:rPr>
          <w:rFonts w:ascii="Arial Unicode MS" w:cs="Arial Unicode MS" w:eastAsia="Arial Unicode MS" w:hAnsi="Arial Unicode MS"/>
          <w:rtl w:val="0"/>
        </w:rPr>
        <w:t xml:space="preserve">その上で、バックエンドにNTT基盤を採用している提携金融機関に対しては、同一環境内での超低遅延データ連携や、「tsuzumi」「LITRON（LITRON CORE）」が提供する高度なデータガバナンス（全口座区分管理・全自動損益通算・ミニマムタックス対策・全自動為替差益算定・リアルタイムガードレール等）という「技術的バックエンドの優位性」を提供します。これにより、エンドユーザー（親子）に実質的な快適性と安全性のメリットをもたらし、合法的かつ自然に当該金融機関が選好される設計としています。</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z3wfpqv8pdcd"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「バーストトラフィック」に対するCIOのインフラ懸念</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懸念:</w:t>
      </w:r>
      <w:r w:rsidDel="00000000" w:rsidR="00000000" w:rsidRPr="00000000">
        <w:rPr>
          <w:rFonts w:ascii="Arial Unicode MS" w:cs="Arial Unicode MS" w:eastAsia="Arial Unicode MS" w:hAnsi="Arial Unicode MS"/>
          <w:rtl w:val="0"/>
        </w:rPr>
        <w:t xml:space="preserve"> 全国規模のイベント時のバーストトラフィックにより、サーバーインフラのコストが高騰し、金融機関側の基幹システムへ負荷が連動するのではないか？</w:t>
      </w:r>
    </w:p>
    <w:p w:rsidR="00000000" w:rsidDel="00000000" w:rsidP="00000000" w:rsidRDefault="00000000" w:rsidRPr="00000000" w14:paraId="00000010">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回答:</w:t>
      </w:r>
    </w:p>
    <w:p w:rsidR="00000000" w:rsidDel="00000000" w:rsidP="00000000" w:rsidRDefault="00000000" w:rsidRPr="00000000" w14:paraId="00000011">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フロントエンド仕様に基づき、WebAssembly（Wasm）等を活用した徹底的な「エッジ処理」を採用しています。シミュレーションロジックや定性アラート判定をWasm化し、ユーザーのブラウザ（エッジ）側で完全分散処理させるため、中央サーバーの計算負荷とインフラコストを最小化できます。</w:t>
      </w:r>
    </w:p>
    <w:p w:rsidR="00000000" w:rsidDel="00000000" w:rsidP="00000000" w:rsidRDefault="00000000" w:rsidRPr="00000000" w14:paraId="00000012">
      <w:pPr>
        <w:numPr>
          <w:ilvl w:val="1"/>
          <w:numId w:val="3"/>
        </w:numPr>
        <w:spacing w:after="240" w:lineRule="auto"/>
        <w:ind w:left="1440" w:hanging="360"/>
      </w:pPr>
      <w:r w:rsidDel="00000000" w:rsidR="00000000" w:rsidRPr="00000000">
        <w:rPr>
          <w:rFonts w:ascii="Arial Unicode MS" w:cs="Arial Unicode MS" w:eastAsia="Arial Unicode MS" w:hAnsi="Arial Unicode MS"/>
          <w:rtl w:val="0"/>
        </w:rPr>
        <w:t xml:space="preserve">金融機関側の既存基幹システムへはリアルタイムの過負荷を一切かけないトポロジーを死守します。エッジ側でフィルタリングされた確度の高いログのみを、バックエンド（NTT側のLITRONデータ基盤）へ非同期リレーするため、既存インフラに影響を与えずに安全にデータ重力を形成可能です。</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onven7a0r6lu" w:id="4"/>
      <w:bookmarkEnd w:id="4"/>
      <w:r w:rsidDel="00000000" w:rsidR="00000000" w:rsidRPr="00000000">
        <w:rPr>
          <w:rFonts w:ascii="Arial Unicode MS" w:cs="Arial Unicode MS" w:eastAsia="Arial Unicode MS" w:hAnsi="Arial Unicode MS"/>
          <w:b w:val="1"/>
          <w:bCs w:val="1"/>
          <w:color w:val="000000"/>
          <w:sz w:val="26"/>
          <w:szCs w:val="26"/>
          <w:rtl w:val="0"/>
        </w:rPr>
        <w:t xml:space="preserve">4. マクロリスク発生時におけるガバナンスの突っ込み</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懸念:</w:t>
      </w:r>
      <w:r w:rsidDel="00000000" w:rsidR="00000000" w:rsidRPr="00000000">
        <w:rPr>
          <w:rFonts w:ascii="Arial Unicode MS" w:cs="Arial Unicode MS" w:eastAsia="Arial Unicode MS" w:hAnsi="Arial Unicode MS"/>
          <w:rtl w:val="0"/>
        </w:rPr>
        <w:t xml:space="preserve"> 提携金融機関への行政指導、銘柄の上場廃止、</w:t>
      </w:r>
      <w:r w:rsidDel="00000000" w:rsidR="00000000" w:rsidRPr="00000000">
        <w:rPr>
          <w:rFonts w:ascii="Arial Unicode MS" w:cs="Arial Unicode MS" w:eastAsia="Arial Unicode MS" w:hAnsi="Arial Unicode MS"/>
          <w:rtl w:val="0"/>
        </w:rPr>
        <w:t xml:space="preserve">最高裁判決やミニマムタックス導入・税制改正に伴う税務ガイドラインの改定</w:t>
      </w:r>
      <w:r w:rsidDel="00000000" w:rsidR="00000000" w:rsidRPr="00000000">
        <w:rPr>
          <w:rFonts w:ascii="Arial Unicode MS" w:cs="Arial Unicode MS" w:eastAsia="Arial Unicode MS" w:hAnsi="Arial Unicode MS"/>
          <w:rtl w:val="0"/>
        </w:rPr>
        <w:t xml:space="preserve">等のマクロリスク発生時、AIが誤った推奨や計算を行ってコンプライアンス違反を招くのではないか？</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回答:</w:t>
      </w:r>
    </w:p>
    <w:p w:rsidR="00000000" w:rsidDel="00000000" w:rsidP="00000000" w:rsidRDefault="00000000" w:rsidRPr="00000000" w14:paraId="00000016">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セミオート・レギュラトリー・ゲートウェイ」による可変型ガードレールを構築しています。マクロリスク因子や重大な法的・税務判断の変更を検知した場合は、AIによる完全自動処理を行わず、リスクシグナルをバックエンドで一時的に自動ホールドします。</w:t>
      </w:r>
    </w:p>
    <w:p w:rsidR="00000000" w:rsidDel="00000000" w:rsidP="00000000" w:rsidRDefault="00000000" w:rsidRPr="00000000" w14:paraId="00000017">
      <w:pPr>
        <w:numPr>
          <w:ilvl w:val="1"/>
          <w:numId w:val="1"/>
        </w:numPr>
        <w:spacing w:after="240" w:lineRule="auto"/>
        <w:ind w:left="1440" w:hanging="360"/>
      </w:pPr>
      <w:r w:rsidDel="00000000" w:rsidR="00000000" w:rsidRPr="00000000">
        <w:rPr>
          <w:rFonts w:ascii="Arial Unicode MS" w:cs="Arial Unicode MS" w:eastAsia="Arial Unicode MS" w:hAnsi="Arial Unicode MS"/>
          <w:rtl w:val="0"/>
        </w:rPr>
        <w:t xml:space="preserve">このプロセスでは「LITRON MAS（マルチエージェント）」が起動し、金融機関側のコンプライアンス責任者による手動承認を必ず介在させるセミオート動線（2レイヤー・ホールド・ワークフロー）を実装しています。手動承認を経て特定金融機関や選択肢、または該当ルールを一時更新・制御することにより、「AIは判断材料を提供する補助システム」という免責構造を死守します。</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