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kbn2ykc27i0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10_インフラ回収シミュレーション骨子（NTTインフラ包括・ガバナンス仕様）【v6改訂版】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239zqq3bh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KPI・試算の前提条件設定（国内1社あたりのモデル）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対象顧客: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国内大手メガバンク・信託銀行、大手ネット証券。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TWB初期投資（CapEx）: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約5,000万円。（純国産LLM「tsuzumi」および「LITRON基盤」を流用し、Wasmによるエッジ処理および全口座区分対応・損益通算・ミニマムタックス・ウォッシュセール・為替差益共通算定モジュールを活用することで開発・実証コストを抑制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TWB年間運用費（OpEx）: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約1,000万円/年。（パッケージ保守、ローカルガードレールおよびLITRON MASの維持）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シフト目標インフラ市場価値: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年間インフラ利用料（MRR）：約2,000万円〜5,000万円/月（年間2.4億〜6億円規模）。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LTV（顧客生涯価値）：5年契約で約12億〜30億円規模の大規模包括インフラ収入（NTTの高セキュリティソリューション・IOWN等へのリプレース）。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0e5yiaant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回収シナリオ（タイムライン・国内市場最適化連動）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【第1期：ドアオープナー期（Day 1 〜 6ヶ月）】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「安全・安心なデータガバナンス」と「純国産技術の信頼性」を武器にトップダウンアプローチを展開し、TWBを「初期ライセンス低価格（または無償化）」で提供。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オンライン/リアルイベントでバーストトラフィックをWasmで吸収し、基幹負荷ゼロを実証しながら口座開設動線を最大化（初期投資約5,500万円先行）。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【第2期：データ蓄積・エンゲージメント強化期（6ヶ月 〜 1年）】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庁「実証実験ハブ」公認ステータスを背景に、NISAや暦年贈与枠、国内マルチ口座の損益通算・3年繰越控除、ミニマムタックス接近判定、米国ウォッシュセール回避、外貨資産・為替差益自動計算（移動平均法／総平均法）へのアジャスト精度を証明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ユーザーデータおよび税務算定ログがNTT側の「LITRON」データ基盤へ蓄積され、NTT環境側で「データの重力」が急速に成長を開始する。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【第3期：インフラ移行・回収期（1年 〜 2年）】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他社メガクラウド利用によるデータ転送コスト（Egress料金）と通信遅延が金融機関の経営ボトルネックとして顕在化。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アデータと密結合するNTT環境（IOWN等）へ一元統合することでTCOを削減し、tsuzumiによる解析・税務トラッキングの高速化と低消費電力運用を実現する経済的・技術的合理性を提示し、大規模インフラリプレースを締結させる。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tuo4m2cis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投資対効果（ROI）とリスク防衛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1社あたりのコアインフラリプレース完了後、約3ヶ月で当社の初期投資（5,000万円）を回収。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国内10社に配布し、うち1社でもリプレースに成功すればプロジェクト全体が1年で莫大な黒字に転換するレバレッジ構造。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承認後24時間以内に「オープン・プロバイダー・プロトコル」の仕様共有と遵守誓約書の提出を義務付け、独禁法違反や中立性懸念を完全に排除するガバナンスを統制する。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