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rPr>
      </w:pPr>
      <w:bookmarkStart w:colFirst="0" w:colLast="0" w:name="_bxuq8qdi4xye" w:id="0"/>
      <w:bookmarkEnd w:id="0"/>
      <w:r w:rsidDel="00000000" w:rsidR="00000000" w:rsidRPr="00000000">
        <w:rPr>
          <w:rFonts w:ascii="Arial Unicode MS" w:cs="Arial Unicode MS" w:eastAsia="Arial Unicode MS" w:hAnsi="Arial Unicode MS"/>
          <w:b w:val="1"/>
          <w:bCs w:val="1"/>
          <w:rtl w:val="0"/>
        </w:rPr>
        <w:t xml:space="preserve">11_金融機関 経営幹部（CEO/CFO）向け 協業メリット提案書（NTTインフラ包括・ガバナンス強化仕様）【v6改訂版】</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s10snreuizza" w:id="1"/>
      <w:bookmarkEnd w:id="1"/>
      <w:r w:rsidDel="00000000" w:rsidR="00000000" w:rsidRPr="00000000">
        <w:rPr>
          <w:rFonts w:ascii="Arial Unicode MS" w:cs="Arial Unicode MS" w:eastAsia="Arial Unicode MS" w:hAnsi="Arial Unicode MS"/>
          <w:b w:val="1"/>
          <w:bCs w:val="1"/>
          <w:color w:val="000000"/>
          <w:sz w:val="26"/>
          <w:szCs w:val="26"/>
          <w:rtl w:val="0"/>
        </w:rPr>
        <w:t xml:space="preserve">【エグゼクティブ・サマリー】</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貴社が直面している最大の財務リスクは、「現在のコア顧客（60〜80代）の逝去に伴う、次世代（40〜50代およびその子孫）への数兆円規模の資産流出（チャーン）」です。 本提案は、これまでアプローチが困難だった「顧客の子供・孫世代」を貴社経済圏に強固にリテンションする、初期導入・年間保守費用無料のAI資産継承プラットフォーム『Tsuzumi Wealth Bridge（TWB）』のご案内です。本システムは、純国産LLM「tsuzumi」と高度なデータガバナンス基盤「LITRON」を中核とし、日本の税制（NISA・暦年贈与</w:t>
      </w:r>
      <w:r w:rsidDel="00000000" w:rsidR="00000000" w:rsidRPr="00000000">
        <w:rPr>
          <w:rFonts w:ascii="Arial Unicode MS" w:cs="Arial Unicode MS" w:eastAsia="Arial Unicode MS" w:hAnsi="Arial Unicode MS"/>
          <w:rtl w:val="0"/>
        </w:rPr>
        <w:t xml:space="preserve">・全証券口座区分の損益通算＆3年繰越控除・ミニマムタックス対策・米国ウォッシュセール追跡・最高裁判例に準拠した為替差益算定</w:t>
      </w:r>
      <w:r w:rsidDel="00000000" w:rsidR="00000000" w:rsidRPr="00000000">
        <w:rPr>
          <w:rFonts w:ascii="Arial Unicode MS" w:cs="Arial Unicode MS" w:eastAsia="Arial Unicode MS" w:hAnsi="Arial Unicode MS"/>
          <w:rtl w:val="0"/>
        </w:rPr>
        <w:t xml:space="preserve">）および金融庁のコンプライアンス要求に完全特化した純国産のセキュアなソリューションです。</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ulsurj81dzdc" w:id="2"/>
      <w:bookmarkEnd w:id="2"/>
      <w:r w:rsidDel="00000000" w:rsidR="00000000" w:rsidRPr="00000000">
        <w:rPr>
          <w:rFonts w:ascii="Arial Unicode MS" w:cs="Arial Unicode MS" w:eastAsia="Arial Unicode MS" w:hAnsi="Arial Unicode MS"/>
          <w:b w:val="1"/>
          <w:bCs w:val="1"/>
          <w:color w:val="000000"/>
          <w:sz w:val="26"/>
          <w:szCs w:val="26"/>
          <w:rtl w:val="0"/>
        </w:rPr>
        <w:t xml:space="preserve">貴社がTWBを導入すべき「3大メリット」</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ddbd0hxsi3zq" w:id="3"/>
      <w:bookmarkEnd w:id="3"/>
      <w:r w:rsidDel="00000000" w:rsidR="00000000" w:rsidRPr="00000000">
        <w:rPr>
          <w:rFonts w:ascii="Arial Unicode MS" w:cs="Arial Unicode MS" w:eastAsia="Arial Unicode MS" w:hAnsi="Arial Unicode MS"/>
          <w:b w:val="1"/>
          <w:bCs w:val="1"/>
          <w:color w:val="000000"/>
          <w:sz w:val="22"/>
          <w:szCs w:val="22"/>
          <w:rtl w:val="0"/>
        </w:rPr>
        <w:t xml:space="preserve">1. 資産流出（チャーン）を自動防止する「リテンション・アーキテクチャ」の構築</w:t>
      </w:r>
    </w:p>
    <w:p w:rsidR="00000000" w:rsidDel="00000000" w:rsidP="00000000" w:rsidRDefault="00000000" w:rsidRPr="00000000" w14:paraId="00000006">
      <w:pPr>
        <w:numPr>
          <w:ilvl w:val="0"/>
          <w:numId w:val="2"/>
        </w:numPr>
        <w:spacing w:after="240" w:lineRule="auto"/>
        <w:ind w:left="720" w:hanging="360"/>
      </w:pPr>
      <w:r w:rsidDel="00000000" w:rsidR="00000000" w:rsidRPr="00000000">
        <w:rPr>
          <w:rFonts w:ascii="Arial Unicode MS" w:cs="Arial Unicode MS" w:eastAsia="Arial Unicode MS" w:hAnsi="Arial Unicode MS"/>
          <w:rtl w:val="0"/>
        </w:rPr>
        <w:t xml:space="preserve">「高齢者本人への投資勧誘」から脱却し、「孫・子供世代へのお小遣い・生前贈与のスマートなデジタル動線」を構築。相続発生時の他社口座や決済アプリへの資産流出を未然に防止します。</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87c7drd5j7ar" w:id="4"/>
      <w:bookmarkEnd w:id="4"/>
      <w:r w:rsidDel="00000000" w:rsidR="00000000" w:rsidRPr="00000000">
        <w:rPr>
          <w:rFonts w:ascii="Arial Unicode MS" w:cs="Arial Unicode MS" w:eastAsia="Arial Unicode MS" w:hAnsi="Arial Unicode MS"/>
          <w:b w:val="1"/>
          <w:bCs w:val="1"/>
          <w:color w:val="000000"/>
          <w:sz w:val="22"/>
          <w:szCs w:val="22"/>
          <w:rtl w:val="0"/>
        </w:rPr>
        <w:t xml:space="preserve">2. 金融庁「金融教育義務化」の潮流に乗った、若年層口座の先先行獲得</w:t>
      </w:r>
    </w:p>
    <w:p w:rsidR="00000000" w:rsidDel="00000000" w:rsidP="00000000" w:rsidRDefault="00000000" w:rsidRPr="00000000" w14:paraId="00000008">
      <w:pPr>
        <w:numPr>
          <w:ilvl w:val="0"/>
          <w:numId w:val="1"/>
        </w:numPr>
        <w:spacing w:after="240" w:lineRule="auto"/>
        <w:ind w:left="720" w:hanging="360"/>
      </w:pPr>
      <w:r w:rsidDel="00000000" w:rsidR="00000000" w:rsidRPr="00000000">
        <w:rPr>
          <w:rFonts w:ascii="Arial Unicode MS" w:cs="Arial Unicode MS" w:eastAsia="Arial Unicode MS" w:hAnsi="Arial Unicode MS"/>
          <w:rtl w:val="0"/>
        </w:rPr>
        <w:t xml:space="preserve">TWBを「中立な教育デジタル副読本」として地域社会や教育現場へ無料開放することで、営利色を排した形で未来の優良顧客（子供世代）の新規口座開設導線を確固たるものにします。</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igwicuukzqx8" w:id="5"/>
      <w:bookmarkEnd w:id="5"/>
      <w:r w:rsidDel="00000000" w:rsidR="00000000" w:rsidRPr="00000000">
        <w:rPr>
          <w:rFonts w:ascii="Arial Unicode MS" w:cs="Arial Unicode MS" w:eastAsia="Arial Unicode MS" w:hAnsi="Arial Unicode MS"/>
          <w:b w:val="1"/>
          <w:bCs w:val="1"/>
          <w:color w:val="000000"/>
          <w:sz w:val="22"/>
          <w:szCs w:val="22"/>
          <w:rtl w:val="0"/>
        </w:rPr>
        <w:t xml:space="preserve">3. 法的・税務リスク・システム投資「ゼロ」での最先端AI・ガバナンス実装</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投資助言違反リスク」や「意図せぬ脱税・申告漏れリスク」は、純国産LLM「tsuzumi」のアアウトプット層での物理ガードレール（出力検閲ロック）や、LITRON基盤による110万円/60万円上限の自動ホールド機能によりシステム内で完全にカプセル化されています。</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全証券口座区分（一般・特定・NISA）の自動ルーティング</w:t>
      </w:r>
      <w:r w:rsidDel="00000000" w:rsidR="00000000" w:rsidRPr="00000000">
        <w:rPr>
          <w:rFonts w:ascii="Arial Unicode MS" w:cs="Arial Unicode MS" w:eastAsia="Arial Unicode MS" w:hAnsi="Arial Unicode MS"/>
          <w:rtl w:val="0"/>
        </w:rPr>
        <w:t xml:space="preserve">、複数口座に跨がる「損益通算＆3年間繰越控除」の自動試算、</w:t>
      </w:r>
      <w:r w:rsidDel="00000000" w:rsidR="00000000" w:rsidRPr="00000000">
        <w:rPr>
          <w:rFonts w:ascii="Arial Unicode MS" w:cs="Arial Unicode MS" w:eastAsia="Arial Unicode MS" w:hAnsi="Arial Unicode MS"/>
          <w:rtl w:val="0"/>
        </w:rPr>
        <w:t xml:space="preserve">ミニマムタックス（最低30%課税）接近アラートと資産配置シミュレーション</w:t>
      </w:r>
      <w:r w:rsidDel="00000000" w:rsidR="00000000" w:rsidRPr="00000000">
        <w:rPr>
          <w:rFonts w:ascii="Arial Unicode MS" w:cs="Arial Unicode MS" w:eastAsia="Arial Unicode MS" w:hAnsi="Arial Unicode MS"/>
          <w:rtl w:val="0"/>
        </w:rPr>
        <w:t xml:space="preserve">、および米国株の61日間ウォッシュセール判定（自動スワップ提案）をシステム標準で提供。</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さらに、米国株や外貨建て資産の小額積立・売却時に発生する複雑な為替差益（雑所得）を、最高裁判決に基づきLITRON COREがリアルタイム全自動算定（移動平均法／総平均法）。申告ライン（20万円）手前での事前アラート＆確定申告データ自動生成により、利用者の意図せぬ申告漏れや税務トラブルを物理的に回避します。</w:t>
      </w:r>
    </w:p>
    <w:p w:rsidR="00000000" w:rsidDel="00000000" w:rsidP="00000000" w:rsidRDefault="00000000" w:rsidRPr="00000000" w14:paraId="0000000D">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t xml:space="preserve">地政学・マクロリスクや税制改定に対応する「レギュラトリー・リスク・ゲートウェイ（人間のチェックを介したセミオート運用）」も標準装備しており、貴社は巨額の開発費やリーガルリスクを負担することなく導入可能です。</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kjemsnz1dkb9" w:id="6"/>
      <w:bookmarkEnd w:id="6"/>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w3vmk0pdqo1g" w:id="7"/>
      <w:bookmarkEnd w:id="7"/>
      <w:r w:rsidDel="00000000" w:rsidR="00000000" w:rsidRPr="00000000">
        <w:rPr>
          <w:rFonts w:ascii="Arial Unicode MS" w:cs="Arial Unicode MS" w:eastAsia="Arial Unicode MS" w:hAnsi="Arial Unicode MS"/>
          <w:b w:val="1"/>
          <w:bCs w:val="1"/>
          <w:color w:val="000000"/>
          <w:sz w:val="26"/>
          <w:szCs w:val="26"/>
          <w:rtl w:val="0"/>
        </w:rPr>
        <w:t xml:space="preserve">協業の枠組みとコストストラクチャ</w:t>
      </w:r>
    </w:p>
    <w:p w:rsidR="00000000" w:rsidDel="00000000" w:rsidP="00000000" w:rsidRDefault="00000000" w:rsidRPr="00000000" w14:paraId="00000010">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初期ライセンス費用:</w:t>
      </w:r>
      <w:r w:rsidDel="00000000" w:rsidR="00000000" w:rsidRPr="00000000">
        <w:rPr>
          <w:rFonts w:ascii="Arial Unicode MS" w:cs="Arial Unicode MS" w:eastAsia="Arial Unicode MS" w:hAnsi="Arial Unicode MS"/>
          <w:rtl w:val="0"/>
        </w:rPr>
        <w:t xml:space="preserve"> ¥0 （無償提供）</w:t>
      </w:r>
    </w:p>
    <w:p w:rsidR="00000000" w:rsidDel="00000000" w:rsidP="00000000" w:rsidRDefault="00000000" w:rsidRPr="00000000" w14:paraId="00000011">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年間保守・運用費用:</w:t>
      </w:r>
      <w:r w:rsidDel="00000000" w:rsidR="00000000" w:rsidRPr="00000000">
        <w:rPr>
          <w:rFonts w:ascii="Arial Unicode MS" w:cs="Arial Unicode MS" w:eastAsia="Arial Unicode MS" w:hAnsi="Arial Unicode MS"/>
          <w:rtl w:val="0"/>
        </w:rPr>
        <w:t xml:space="preserve"> ¥0 （将来的な次世代情報通信基盤への移行を見据えた、NTTグループ側の戦略的レバレッジ投資として対応）</w:t>
      </w:r>
    </w:p>
    <w:p w:rsidR="00000000" w:rsidDel="00000000" w:rsidP="00000000" w:rsidRDefault="00000000" w:rsidRPr="00000000" w14:paraId="00000012">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貴社のご負担・役割:</w:t>
      </w:r>
      <w:r w:rsidDel="00000000" w:rsidR="00000000" w:rsidRPr="00000000">
        <w:rPr>
          <w:rFonts w:ascii="Arial Unicode MS" w:cs="Arial Unicode MS" w:eastAsia="Arial Unicode MS" w:hAnsi="Arial Unicode MS"/>
          <w:rtl w:val="0"/>
        </w:rPr>
        <w:t xml:space="preserve"> 既存顧客へのTWBアプリの告知、および新規口座開設フォームの連携</w:t>
      </w:r>
    </w:p>
    <w:p w:rsidR="00000000" w:rsidDel="00000000" w:rsidP="00000000" w:rsidRDefault="00000000" w:rsidRPr="00000000" w14:paraId="00000013">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システム連携仕様:</w:t>
      </w:r>
      <w:r w:rsidDel="00000000" w:rsidR="00000000" w:rsidRPr="00000000">
        <w:rPr>
          <w:rFonts w:ascii="Arial Unicode MS" w:cs="Arial Unicode MS" w:eastAsia="Arial Unicode MS" w:hAnsi="Arial Unicode MS"/>
          <w:rtl w:val="0"/>
        </w:rPr>
        <w:t xml:space="preserve"> 貴社既存基幹システム（預金・取引・顧客マスター）へは、APIやショートURL経由での「ミニマム連携（UIDのみ）」を行うため、貴社システムへリアルタイムの過負荷を一切かけない安全なトポロジーを死守します。</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1ff06ewcv94t" w:id="8"/>
      <w:bookmarkEnd w:id="8"/>
      <w:r w:rsidDel="00000000" w:rsidR="00000000" w:rsidRPr="00000000">
        <w:rPr>
          <w:rFonts w:ascii="Arial Unicode MS" w:cs="Arial Unicode MS" w:eastAsia="Arial Unicode MS" w:hAnsi="Arial Unicode MS"/>
          <w:b w:val="1"/>
          <w:bCs w:val="1"/>
          <w:color w:val="000000"/>
          <w:sz w:val="26"/>
          <w:szCs w:val="26"/>
          <w:rtl w:val="0"/>
        </w:rPr>
        <w:t xml:space="preserve">ネクストステップ（PoC：共同実証実験のご提案）</w:t>
      </w:r>
    </w:p>
    <w:p w:rsidR="00000000" w:rsidDel="00000000" w:rsidP="00000000" w:rsidRDefault="00000000" w:rsidRPr="00000000" w14:paraId="00000015">
      <w:pPr>
        <w:spacing w:after="240" w:lineRule="auto"/>
        <w:rPr/>
      </w:pPr>
      <w:r w:rsidDel="00000000" w:rsidR="00000000" w:rsidRPr="00000000">
        <w:rPr>
          <w:rFonts w:ascii="Arial Unicode MS" w:cs="Arial Unicode MS" w:eastAsia="Arial Unicode MS" w:hAnsi="Arial Unicode MS"/>
          <w:rtl w:val="0"/>
        </w:rPr>
        <w:t xml:space="preserve">まずは貴社の一部の上顧客（ハイネットワース層）、または特定の地域・支店において、3ヶ月間の限定実証実験（PoC）を実施し、「子供世代の新規口座開設率」および「マルチ口座・外貨・積立商品の稼働率」の具体的な検証を行うことをご提案いたします。</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