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3j5tjtz9j9y0" w:id="0"/>
      <w:bookmarkEnd w:id="0"/>
      <w:r w:rsidDel="00000000" w:rsidR="00000000" w:rsidRPr="00000000">
        <w:rPr>
          <w:b w:val="1"/>
          <w:bCs w:val="1"/>
          <w:rtl w:val="0"/>
        </w:rPr>
        <w:t xml:space="preserve">12_🎨 スライド2：『データ重力とインフラ統合』システム構成図 テキスト指示書（ポンチ絵用）【v6改訂版】</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ssiqc0s5fumt" w:id="1"/>
      <w:bookmarkEnd w:id="1"/>
      <w:r w:rsidDel="00000000" w:rsidR="00000000" w:rsidRPr="00000000">
        <w:rPr>
          <w:rFonts w:ascii="Arial Unicode MS" w:cs="Arial Unicode MS" w:eastAsia="Arial Unicode MS" w:hAnsi="Arial Unicode MS"/>
          <w:b w:val="1"/>
          <w:bCs w:val="1"/>
          <w:color w:val="000000"/>
          <w:sz w:val="26"/>
          <w:szCs w:val="26"/>
          <w:rtl w:val="0"/>
        </w:rPr>
        <w:t xml:space="preserve">■ スライドの全体構成・イメージ</w:t>
      </w:r>
    </w:p>
    <w:p w:rsidR="00000000" w:rsidDel="00000000" w:rsidP="00000000" w:rsidRDefault="00000000" w:rsidRPr="00000000" w14:paraId="00000003">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デザインコンセプト:</w:t>
      </w:r>
    </w:p>
    <w:p w:rsidR="00000000" w:rsidDel="00000000" w:rsidP="00000000" w:rsidRDefault="00000000" w:rsidRPr="00000000" w14:paraId="00000004">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データ蓄積に伴う「データの重力（Data Gravity）」を核とし、システム基盤をNTTグループの次世代インフラへ統合・リプレースすることによる「最適化の力学」を視覚化する。</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画面レイアウト:</w:t>
      </w:r>
    </w:p>
    <w:p w:rsidR="00000000" w:rsidDel="00000000" w:rsidP="00000000" w:rsidRDefault="00000000" w:rsidRPr="00000000" w14:paraId="00000006">
      <w:pPr>
        <w:numPr>
          <w:ilvl w:val="1"/>
          <w:numId w:val="2"/>
        </w:numPr>
        <w:spacing w:after="240" w:lineRule="auto"/>
        <w:ind w:left="1440" w:hanging="360"/>
      </w:pPr>
      <w:r w:rsidDel="00000000" w:rsidR="00000000" w:rsidRPr="00000000">
        <w:rPr>
          <w:rFonts w:ascii="Arial Unicode MS" w:cs="Arial Unicode MS" w:eastAsia="Arial Unicode MS" w:hAnsi="Arial Unicode MS"/>
          <w:rtl w:val="0"/>
        </w:rPr>
        <w:t xml:space="preserve">左側に「既存システム環境（他社クラウド環境）」、右側に「NTTソリューション領域（セキュア環境）」のエリアを配置し、統合によるシナジーとTCO削減の流れを表現する。</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7l23xaal8isf" w:id="2"/>
      <w:bookmarkEnd w:id="2"/>
      <w:r w:rsidDel="00000000" w:rsidR="00000000" w:rsidRPr="00000000">
        <w:rPr>
          <w:rFonts w:ascii="Arial Unicode MS" w:cs="Arial Unicode MS" w:eastAsia="Arial Unicode MS" w:hAnsi="Arial Unicode MS"/>
          <w:b w:val="1"/>
          <w:bCs w:val="1"/>
          <w:color w:val="000000"/>
          <w:sz w:val="26"/>
          <w:szCs w:val="26"/>
          <w:rtl w:val="0"/>
        </w:rPr>
        <w:t xml:space="preserve">■ 構成要素と配置の指示</w:t>
      </w:r>
    </w:p>
    <w:p w:rsidR="00000000" w:rsidDel="00000000" w:rsidP="00000000" w:rsidRDefault="00000000" w:rsidRPr="00000000" w14:paraId="00000008">
      <w:pPr>
        <w:pStyle w:val="Heading4"/>
        <w:keepNext w:val="0"/>
        <w:keepLines w:val="0"/>
        <w:spacing w:after="40" w:before="0" w:lineRule="auto"/>
        <w:rPr>
          <w:b w:val="1"/>
          <w:bCs w:val="1"/>
          <w:color w:val="000000"/>
          <w:sz w:val="22"/>
          <w:szCs w:val="22"/>
        </w:rPr>
      </w:pPr>
      <w:bookmarkStart w:colFirst="0" w:colLast="0" w:name="_xeme9hbudmq8" w:id="3"/>
      <w:bookmarkEnd w:id="3"/>
      <w:r w:rsidDel="00000000" w:rsidR="00000000" w:rsidRPr="00000000">
        <w:rPr>
          <w:rFonts w:ascii="Arial Unicode MS" w:cs="Arial Unicode MS" w:eastAsia="Arial Unicode MS" w:hAnsi="Arial Unicode MS"/>
          <w:b w:val="1"/>
          <w:bCs w:val="1"/>
          <w:color w:val="000000"/>
          <w:sz w:val="22"/>
          <w:szCs w:val="22"/>
          <w:rtl w:val="0"/>
        </w:rPr>
        <w:t xml:space="preserve">【1. 画面上部：ユーザー・フロント層】</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イラスト:</w:t>
      </w:r>
      <w:r w:rsidDel="00000000" w:rsidR="00000000" w:rsidRPr="00000000">
        <w:rPr>
          <w:rFonts w:ascii="Arial Unicode MS" w:cs="Arial Unicode MS" w:eastAsia="Arial Unicode MS" w:hAnsi="Arial Unicode MS"/>
          <w:rtl w:val="0"/>
        </w:rPr>
        <w:t xml:space="preserve"> 「親のスマホ」と「子供の端末（お小遣いライフログ入力・シミュレーション）」のアイコン。</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配置:</w:t>
      </w:r>
      <w:r w:rsidDel="00000000" w:rsidR="00000000" w:rsidRPr="00000000">
        <w:rPr>
          <w:rFonts w:ascii="Arial Unicode MS" w:cs="Arial Unicode MS" w:eastAsia="Arial Unicode MS" w:hAnsi="Arial Unicode MS"/>
          <w:rtl w:val="0"/>
        </w:rPr>
        <w:t xml:space="preserve"> 中央最上部。</w:t>
      </w:r>
    </w:p>
    <w:p w:rsidR="00000000" w:rsidDel="00000000" w:rsidP="00000000" w:rsidRDefault="00000000" w:rsidRPr="00000000" w14:paraId="0000000B">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説明:</w:t>
      </w:r>
      <w:r w:rsidDel="00000000" w:rsidR="00000000" w:rsidRPr="00000000">
        <w:rPr>
          <w:rFonts w:ascii="Arial Unicode MS" w:cs="Arial Unicode MS" w:eastAsia="Arial Unicode MS" w:hAnsi="Arial Unicode MS"/>
          <w:rtl w:val="0"/>
        </w:rPr>
        <w:t xml:space="preserve"> 主文書の「SECTION 2：イベント用フロントエンド・モジュール」仕様に準拠。WebAssembly（Wasm）等を活用したエッジ処理により、バーストトラフィックによる負荷や為替・税務定性アラート判定をフロント側で効率的に吸収。</w:t>
      </w:r>
    </w:p>
    <w:p w:rsidR="00000000" w:rsidDel="00000000" w:rsidP="00000000" w:rsidRDefault="00000000" w:rsidRPr="00000000" w14:paraId="0000000C">
      <w:pPr>
        <w:pStyle w:val="Heading4"/>
        <w:keepNext w:val="0"/>
        <w:keepLines w:val="0"/>
        <w:spacing w:after="40" w:before="0" w:lineRule="auto"/>
        <w:rPr>
          <w:b w:val="1"/>
          <w:bCs w:val="1"/>
          <w:color w:val="000000"/>
          <w:sz w:val="22"/>
          <w:szCs w:val="22"/>
        </w:rPr>
      </w:pPr>
      <w:bookmarkStart w:colFirst="0" w:colLast="0" w:name="_udvcfwl4fxs9" w:id="4"/>
      <w:bookmarkEnd w:id="4"/>
      <w:r w:rsidDel="00000000" w:rsidR="00000000" w:rsidRPr="00000000">
        <w:rPr>
          <w:rFonts w:ascii="Arial Unicode MS" w:cs="Arial Unicode MS" w:eastAsia="Arial Unicode MS" w:hAnsi="Arial Unicode MS"/>
          <w:b w:val="1"/>
          <w:bCs w:val="1"/>
          <w:color w:val="000000"/>
          <w:sz w:val="22"/>
          <w:szCs w:val="22"/>
          <w:rtl w:val="0"/>
        </w:rPr>
        <w:t xml:space="preserve">【2. 画面左側：現在の金融機関インフラ（他社クラウド環境）】</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イラスト:</w:t>
      </w:r>
      <w:r w:rsidDel="00000000" w:rsidR="00000000" w:rsidRPr="00000000">
        <w:rPr>
          <w:rFonts w:ascii="Arial Unicode MS" w:cs="Arial Unicode MS" w:eastAsia="Arial Unicode MS" w:hAnsi="Arial Unicode MS"/>
          <w:rtl w:val="0"/>
        </w:rPr>
        <w:t xml:space="preserve"> 既存のクラウド基盤（他社メガクラウド等）を想起させるアイコン。</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「金融機関 既存基幹システム（預金・取引・顧客マスターデータ：UID）」</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注記:</w:t>
      </w:r>
      <w:r w:rsidDel="00000000" w:rsidR="00000000" w:rsidRPr="00000000">
        <w:rPr>
          <w:rFonts w:ascii="Arial Unicode MS" w:cs="Arial Unicode MS" w:eastAsia="Arial Unicode MS" w:hAnsi="Arial Unicode MS"/>
          <w:rtl w:val="0"/>
        </w:rPr>
        <w:t xml:space="preserve"> ここから右側のNTT領域へ向かって、点線の細い矢印が伸びている。</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矢印のラベル:</w:t>
      </w:r>
      <w:r w:rsidDel="00000000" w:rsidR="00000000" w:rsidRPr="00000000">
        <w:rPr>
          <w:rFonts w:ascii="Arial Unicode MS" w:cs="Arial Unicode MS" w:eastAsia="Arial Unicode MS" w:hAnsi="Arial Unicode MS"/>
          <w:rtl w:val="0"/>
        </w:rPr>
        <w:t xml:space="preserve"> 「API / セキュアなショートURL経由による顧客データ（UID）のミニマム連携（即時口座バリデーション）」</w:t>
      </w:r>
    </w:p>
    <w:p w:rsidR="00000000" w:rsidDel="00000000" w:rsidP="00000000" w:rsidRDefault="00000000" w:rsidRPr="00000000" w14:paraId="00000011">
      <w:pPr>
        <w:pStyle w:val="Heading4"/>
        <w:keepNext w:val="0"/>
        <w:keepLines w:val="0"/>
        <w:spacing w:after="40" w:before="0" w:lineRule="auto"/>
        <w:rPr>
          <w:b w:val="1"/>
          <w:bCs w:val="1"/>
          <w:color w:val="000000"/>
          <w:sz w:val="22"/>
          <w:szCs w:val="22"/>
        </w:rPr>
      </w:pPr>
      <w:bookmarkStart w:colFirst="0" w:colLast="0" w:name="_mj4aj8dpsts6" w:id="5"/>
      <w:bookmarkEnd w:id="5"/>
      <w:r w:rsidDel="00000000" w:rsidR="00000000" w:rsidRPr="00000000">
        <w:rPr>
          <w:rFonts w:ascii="Arial Unicode MS" w:cs="Arial Unicode MS" w:eastAsia="Arial Unicode MS" w:hAnsi="Arial Unicode MS"/>
          <w:b w:val="1"/>
          <w:bCs w:val="1"/>
          <w:color w:val="000000"/>
          <w:sz w:val="22"/>
          <w:szCs w:val="22"/>
          <w:rtl w:val="0"/>
        </w:rPr>
        <w:t xml:space="preserve">【3. 画面右側：TWBが駆動するNTTソリューション領域（セキュア環境）】</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イラスト:</w:t>
      </w:r>
      <w:r w:rsidDel="00000000" w:rsidR="00000000" w:rsidRPr="00000000">
        <w:rPr>
          <w:rFonts w:ascii="Arial Unicode MS" w:cs="Arial Unicode MS" w:eastAsia="Arial Unicode MS" w:hAnsi="Arial Unicode MS"/>
          <w:rtl w:val="0"/>
        </w:rPr>
        <w:t xml:space="preserve"> データとAIを引き寄せる「コア・インフラストラクチャ」のグラフィック。</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中心にあるアイコン:</w:t>
      </w:r>
      <w:r w:rsidDel="00000000" w:rsidR="00000000" w:rsidRPr="00000000">
        <w:rPr>
          <w:rFonts w:ascii="Arial Unicode MS" w:cs="Arial Unicode MS" w:eastAsia="Arial Unicode MS" w:hAnsi="Arial Unicode MS"/>
          <w:rtl w:val="0"/>
        </w:rPr>
        <w:t xml:space="preserve"> 純国産LLM「tsuzumi」 と 生成AIソリューション「LITRON（LITRON CORE / LITRON MAS）」</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テキスト:</w:t>
      </w:r>
    </w:p>
    <w:p w:rsidR="00000000" w:rsidDel="00000000" w:rsidP="00000000" w:rsidRDefault="00000000" w:rsidRPr="00000000" w14:paraId="00000015">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「日々の行動ログ・資産シミュレーションデータのセキュアな蓄積」</w:t>
      </w:r>
    </w:p>
    <w:p w:rsidR="00000000" w:rsidDel="00000000" w:rsidP="00000000" w:rsidRDefault="00000000" w:rsidRPr="00000000" w14:paraId="00000016">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「国内全証券口座区分（一般・特定・NISA）自動税務ルーティング」</w:t>
      </w:r>
    </w:p>
    <w:p w:rsidR="00000000" w:rsidDel="00000000" w:rsidP="00000000" w:rsidRDefault="00000000" w:rsidRPr="00000000" w14:paraId="00000017">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「非課税枠バウンダリ（暦年贈与110万円 / こどもNISA枠60万円ハードロック）」</w:t>
      </w:r>
    </w:p>
    <w:p w:rsidR="00000000" w:rsidDel="00000000" w:rsidP="00000000" w:rsidRDefault="00000000" w:rsidRPr="00000000" w14:paraId="00000018">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「複数口座間 損益通算＆3年繰越控除リアルタイム計算エンジン」</w:t>
      </w:r>
      <w:r w:rsidDel="00000000" w:rsidR="00000000" w:rsidRPr="00000000">
        <w:rPr>
          <w:b w:val="1"/>
          <w:bCs w:val="1"/>
          <w:rtl w:val="0"/>
        </w:rPr>
        <w:br w:type="textWrapping"/>
      </w:r>
    </w:p>
    <w:p w:rsidR="00000000" w:rsidDel="00000000" w:rsidP="00000000" w:rsidRDefault="00000000" w:rsidRPr="00000000" w14:paraId="00000019">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「ミニマムタックス（最低30%課税）接近アラート＆資産配置シミュレーション」</w:t>
      </w:r>
      <w:r w:rsidDel="00000000" w:rsidR="00000000" w:rsidRPr="00000000">
        <w:rPr>
          <w:b w:val="1"/>
          <w:bCs w:val="1"/>
          <w:rtl w:val="0"/>
        </w:rPr>
        <w:br w:type="textWrapping"/>
      </w:r>
    </w:p>
    <w:p w:rsidR="00000000" w:rsidDel="00000000" w:rsidP="00000000" w:rsidRDefault="00000000" w:rsidRPr="00000000" w14:paraId="0000001A">
      <w:pPr>
        <w:numPr>
          <w:ilvl w:val="1"/>
          <w:numId w:val="1"/>
        </w:numPr>
        <w:spacing w:after="0" w:afterAutospacing="0" w:lineRule="auto"/>
        <w:ind w:left="1440" w:hanging="360"/>
        <w:rPr/>
      </w:pPr>
      <w:r w:rsidDel="00000000" w:rsidR="00000000" w:rsidRPr="00000000">
        <w:rPr>
          <w:rFonts w:ascii="Arial Unicode MS" w:cs="Arial Unicode MS" w:eastAsia="Arial Unicode MS" w:hAnsi="Arial Unicode MS"/>
          <w:rtl w:val="0"/>
        </w:rPr>
        <w:t xml:space="preserve">「米国ウォッシュセール（61日間追跡）自動判定＆Tax-Loss Harvesting」</w:t>
        <w:br w:type="textWrapping"/>
      </w:r>
    </w:p>
    <w:p w:rsidR="00000000" w:rsidDel="00000000" w:rsidP="00000000" w:rsidRDefault="00000000" w:rsidRPr="00000000" w14:paraId="0000001B">
      <w:pPr>
        <w:numPr>
          <w:ilvl w:val="1"/>
          <w:numId w:val="1"/>
        </w:numPr>
        <w:spacing w:after="0" w:afterAutospacing="0" w:lineRule="auto"/>
        <w:ind w:left="1440" w:hanging="360"/>
        <w:rPr/>
      </w:pPr>
      <w:r w:rsidDel="00000000" w:rsidR="00000000" w:rsidRPr="00000000">
        <w:rPr>
          <w:rFonts w:ascii="Arial Unicode MS" w:cs="Arial Unicode MS" w:eastAsia="Arial Unicode MS" w:hAnsi="Arial Unicode MS"/>
          <w:rtl w:val="0"/>
        </w:rPr>
        <w:t xml:space="preserve">「最高裁判決対応・為替差益自動計算エンジン（移動平均法／総平均法リアルタイム算定＆20万円接近アラート）」</w:t>
        <w:br w:type="textWrapping"/>
      </w:r>
    </w:p>
    <w:p w:rsidR="00000000" w:rsidDel="00000000" w:rsidP="00000000" w:rsidRDefault="00000000" w:rsidRPr="00000000" w14:paraId="0000001C">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「出力検閲ロック（金商法準拠の物理ガードレール / こどもNISA成長投資枠の物理遮断）」</w:t>
      </w:r>
    </w:p>
    <w:p w:rsidR="00000000" w:rsidDel="00000000" w:rsidP="00000000" w:rsidRDefault="00000000" w:rsidRPr="00000000" w14:paraId="0000001D">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ここでの視覚効果:</w:t>
      </w:r>
      <w:r w:rsidDel="00000000" w:rsidR="00000000" w:rsidRPr="00000000">
        <w:rPr>
          <w:rFonts w:ascii="Arial Unicode MS" w:cs="Arial Unicode MS" w:eastAsia="Arial Unicode MS" w:hAnsi="Arial Unicode MS"/>
          <w:rtl w:val="0"/>
        </w:rPr>
        <w:t xml:space="preserve"> ライフログや高頻度なマルチ口座取引・損益通算・ウォッシュセール・為替・税務計算データが蓄積されるほど、右側のNTT領域における「データ資産（重力場）」が増大していくイメージ。</w:t>
      </w:r>
    </w:p>
    <w:p w:rsidR="00000000" w:rsidDel="00000000" w:rsidP="00000000" w:rsidRDefault="00000000" w:rsidRPr="00000000" w14:paraId="0000001E">
      <w:pPr>
        <w:pStyle w:val="Heading4"/>
        <w:keepNext w:val="0"/>
        <w:keepLines w:val="0"/>
        <w:spacing w:after="40" w:before="0" w:lineRule="auto"/>
        <w:rPr>
          <w:b w:val="1"/>
          <w:bCs w:val="1"/>
          <w:color w:val="000000"/>
          <w:sz w:val="22"/>
          <w:szCs w:val="22"/>
        </w:rPr>
      </w:pPr>
      <w:bookmarkStart w:colFirst="0" w:colLast="0" w:name="_5ievrf151yi" w:id="6"/>
      <w:bookmarkEnd w:id="6"/>
      <w:r w:rsidDel="00000000" w:rsidR="00000000" w:rsidRPr="00000000">
        <w:rPr>
          <w:rFonts w:ascii="Arial Unicode MS" w:cs="Arial Unicode MS" w:eastAsia="Arial Unicode MS" w:hAnsi="Arial Unicode MS"/>
          <w:b w:val="1"/>
          <w:bCs w:val="1"/>
          <w:color w:val="000000"/>
          <w:sz w:val="22"/>
          <w:szCs w:val="22"/>
          <w:rtl w:val="0"/>
        </w:rPr>
        <w:t xml:space="preserve">【4. クラウド間を繋ぐ「統合シナジーを示す太い矢印」（TCO削減の動線）】</w:t>
      </w:r>
    </w:p>
    <w:p w:rsidR="00000000" w:rsidDel="00000000" w:rsidP="00000000" w:rsidRDefault="00000000" w:rsidRPr="00000000" w14:paraId="0000001F">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配置:</w:t>
      </w:r>
      <w:r w:rsidDel="00000000" w:rsidR="00000000" w:rsidRPr="00000000">
        <w:rPr>
          <w:rFonts w:ascii="Arial Unicode MS" w:cs="Arial Unicode MS" w:eastAsia="Arial Unicode MS" w:hAnsi="Arial Unicode MS"/>
          <w:rtl w:val="0"/>
        </w:rPr>
        <w:t xml:space="preserve"> 画面左から画面右（NTT側）へ向かう、最も太く力強い大きな矢印。</w:t>
      </w:r>
    </w:p>
    <w:p w:rsidR="00000000" w:rsidDel="00000000" w:rsidP="00000000" w:rsidRDefault="00000000" w:rsidRPr="00000000" w14:paraId="00000020">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矢印の上のテキスト:</w:t>
      </w:r>
    </w:p>
    <w:p w:rsidR="00000000" w:rsidDel="00000000" w:rsidP="00000000" w:rsidRDefault="00000000" w:rsidRPr="00000000" w14:paraId="00000021">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「【データの重力による課題】マルチ口座取引ログ・損益通算データ・為替計算ログ等の蓄積に伴う環境跨ぎのデータ転送コスト（Egress料金）の肥大化」</w:t>
      </w:r>
    </w:p>
    <w:p w:rsidR="00000000" w:rsidDel="00000000" w:rsidP="00000000" w:rsidRDefault="00000000" w:rsidRPr="00000000" w14:paraId="00000022">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「マルチクラウド間の通信遅延（レイテンシー）によるAI解析・リアルタイム税務判定の低下」</w:t>
      </w:r>
    </w:p>
    <w:p w:rsidR="00000000" w:rsidDel="00000000" w:rsidP="00000000" w:rsidRDefault="00000000" w:rsidRPr="00000000" w14:paraId="00000023">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矢印の先（NTT側）にある結論テキスト:</w:t>
      </w:r>
    </w:p>
    <w:p w:rsidR="00000000" w:rsidDel="00000000" w:rsidP="00000000" w:rsidRDefault="00000000" w:rsidRPr="00000000" w14:paraId="00000024">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 解決策（ROI）：基幹データおよび取引システムをNTTグループのソリューションへ統合・リプレース」</w:t>
      </w:r>
    </w:p>
    <w:p w:rsidR="00000000" w:rsidDel="00000000" w:rsidP="00000000" w:rsidRDefault="00000000" w:rsidRPr="00000000" w14:paraId="00000025">
      <w:pPr>
        <w:numPr>
          <w:ilvl w:val="1"/>
          <w:numId w:val="5"/>
        </w:numPr>
        <w:spacing w:after="240" w:lineRule="auto"/>
        <w:ind w:left="1440" w:hanging="360"/>
      </w:pPr>
      <w:r w:rsidDel="00000000" w:rsidR="00000000" w:rsidRPr="00000000">
        <w:rPr>
          <w:rFonts w:ascii="Arial Unicode MS" w:cs="Arial Unicode MS" w:eastAsia="Arial Unicode MS" w:hAnsi="Arial Unicode MS"/>
          <w:rtl w:val="0"/>
        </w:rPr>
        <w:t xml:space="preserve">「【効果】インフラTCOの大幅削減（tsuzumiの軽量性による低消費電力化）、次世代情報通信基盤（IOWN等）への接続によるAI解析速度の劇的向上」</w:t>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ag9p52u0muhu" w:id="7"/>
      <w:bookmarkEnd w:id="7"/>
      <w:r w:rsidDel="00000000" w:rsidR="00000000" w:rsidRPr="00000000">
        <w:rPr>
          <w:rFonts w:ascii="Arial Unicode MS" w:cs="Arial Unicode MS" w:eastAsia="Arial Unicode MS" w:hAnsi="Arial Unicode MS"/>
          <w:b w:val="1"/>
          <w:bCs w:val="1"/>
          <w:color w:val="000000"/>
          <w:sz w:val="26"/>
          <w:szCs w:val="26"/>
          <w:rtl w:val="0"/>
        </w:rPr>
        <w:t xml:space="preserve">■ デザイナーへのメッセージ（作図のポイント）</w:t>
      </w:r>
    </w:p>
    <w:p w:rsidR="00000000" w:rsidDel="00000000" w:rsidP="00000000" w:rsidRDefault="00000000" w:rsidRPr="00000000" w14:paraId="00000027">
      <w:pPr>
        <w:spacing w:after="240" w:lineRule="auto"/>
        <w:rPr/>
      </w:pPr>
      <w:r w:rsidDel="00000000" w:rsidR="00000000" w:rsidRPr="00000000">
        <w:rPr>
          <w:rFonts w:ascii="Arial Unicode MS" w:cs="Arial Unicode MS" w:eastAsia="Arial Unicode MS" w:hAnsi="Arial Unicode MS"/>
          <w:rtl w:val="0"/>
        </w:rPr>
        <w:t xml:space="preserve">「無償提供または戦略的低価格で配布するAIアプリ（TWB）をフックに、価値あるライフログや複雑なマルチ口座・損益通算・ウォッシュセール・為替・税務計算データがNTT側に蓄積されます。データ量が増大するほど、既存の他社クラウド環境と連携させるための通信コストや速度低下が経営上の課題となります。最終的に、基幹システムごとNTTのセキュアソリューションや次世代情報通信基盤（IOWN等）へ一元統合することが『コスト削減』と『国産AIパフォーマンス最大化』の最適解であるという『インフラ統合の必然性（データの重力）』が、金融機関の経営陣（CEO/CIO）に一発で伝わるようメリハリをつけて作図してください」</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