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tf2hcddeflmm" w:id="0"/>
      <w:bookmarkEnd w:id="0"/>
      <w:r w:rsidDel="00000000" w:rsidR="00000000" w:rsidRPr="00000000">
        <w:rPr>
          <w:b w:val="1"/>
          <w:bCs w:val="1"/>
          <w:rtl w:val="0"/>
        </w:rPr>
        <w:t xml:space="preserve">15_ ⚠️ 営業・BizDev担当者向け「NGワード集」＆言い換えマニュアル【v6改訂版】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ippv8559rf3" w:id="1"/>
      <w:bookmarkEnd w:id="1"/>
      <w:r w:rsidDel="00000000" w:rsidR="00000000" w:rsidRPr="00000000">
        <w:rPr>
          <w:rFonts w:ascii="Arial Unicode MS" w:cs="Arial Unicode MS" w:eastAsia="Arial Unicode MS" w:hAnsi="Arial Unicode MS"/>
          <w:b w:val="1"/>
          <w:bCs w:val="1"/>
          <w:color w:val="000000"/>
          <w:sz w:val="26"/>
          <w:szCs w:val="26"/>
          <w:rtl w:val="0"/>
        </w:rPr>
        <w:t xml:space="preserve">【重要・社内秘】</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金融機関や行政との交渉において、以下の「NGワード」を書面・口頭で一文字でも発信した場合、独占禁止法違反による巨額の罰徴金、または金融庁からの実証実験（PoC）取り消し処分を受ける致命的なリスクがあります。必ず右側の「推奨表現（言い換え）」へ100%徹底して言い換えてください。</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5rrpw38od1fo" w:id="2"/>
      <w:bookmarkEnd w:id="2"/>
      <w:r w:rsidDel="00000000" w:rsidR="00000000" w:rsidRPr="00000000">
        <w:rPr>
          <w:rFonts w:ascii="Arial Unicode MS" w:cs="Arial Unicode MS" w:eastAsia="Arial Unicode MS" w:hAnsi="Arial Unicode MS"/>
          <w:b w:val="1"/>
          <w:bCs w:val="1"/>
          <w:color w:val="000000"/>
          <w:sz w:val="26"/>
          <w:szCs w:val="26"/>
          <w:rtl w:val="0"/>
        </w:rPr>
        <w:t xml:space="preserve">1. クラウドインフラのリプレース（奪取）に関するNG</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営業陣への警告（本音と建前）:</w:t>
      </w:r>
      <w:r w:rsidDel="00000000" w:rsidR="00000000" w:rsidRPr="00000000">
        <w:rPr>
          <w:rFonts w:ascii="Arial Unicode MS" w:cs="Arial Unicode MS" w:eastAsia="Arial Unicode MS" w:hAnsi="Arial Unicode MS"/>
          <w:rtl w:val="0"/>
        </w:rPr>
        <w:t xml:space="preserve"> 経営陣への本音（インフラ奪取）が顧客に漏れると、「抱き合わせ販売（不当な顧客囲い込み）」の違法行為とみなされます。TWBアプリの無償（または戦略的低価格）提供は、あくまで「データの重力」を発生させるためのフックであり、インフラ移行の強制力を伴う条件にしてはなりません。</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「このAIツール（TWB）は無料ですが、その代わりに現在御社が契約しているAWS（またはGCP/Azure）を解約して、当社のNTTセキュアクラウドやIOWN環境に乗り換えてもらうことが条件となります」</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「NTTの次世代インフラへの移行に関する覚書（MOU）を締結していただけないと、このAIソリューションは提供できません」</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br w:type="textWrapping"/>
      </w:r>
      <w:r w:rsidDel="00000000" w:rsidR="00000000" w:rsidRPr="00000000">
        <w:rPr>
          <w:rFonts w:ascii="Arial Unicode MS" w:cs="Arial Unicode MS" w:eastAsia="Arial Unicode MS" w:hAnsi="Arial Unicode MS"/>
          <w:rtl w:val="0"/>
        </w:rPr>
        <w:t xml:space="preserve">「本AIツールの性能（リアルタイムのライフログ解析や超低遅延処理）を100%発揮するための、技術的な推奨インフラが当社の高セキュリティデータ基盤および次世代情報通信基盤（IOWN等）となっております。 他社メガクラウド環境のまま運用される場合に比べ、データ蓄積に伴う環境跨ぎの通信コスト（Egress料金 / データ転送量課金）の肥大化やレイテンシーの低下を防ぐことができるため、インフラの統合による包括的なコスト最適化（TCO削減）のご提案も、別途シミュレーション可能です」</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ssz2urppkwil" w:id="3"/>
      <w:bookmarkEnd w:id="3"/>
      <w:r w:rsidDel="00000000" w:rsidR="00000000" w:rsidRPr="00000000">
        <w:rPr>
          <w:rFonts w:ascii="Arial Unicode MS" w:cs="Arial Unicode MS" w:eastAsia="Arial Unicode MS" w:hAnsi="Arial Unicode MS"/>
          <w:b w:val="1"/>
          <w:bCs w:val="1"/>
          <w:color w:val="000000"/>
          <w:sz w:val="26"/>
          <w:szCs w:val="26"/>
          <w:rtl w:val="0"/>
        </w:rPr>
        <w:t xml:space="preserve">2. アルゴリズムの優遇（ステルスレバレッジ）に関するNG</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b w:val="1"/>
          <w:bCs w:val="1"/>
          <w:rtl w:val="0"/>
        </w:rPr>
        <w:t xml:space="preserve">営業陣への警告（本音と建前）:</w:t>
      </w:r>
      <w:r w:rsidDel="00000000" w:rsidR="00000000" w:rsidRPr="00000000">
        <w:rPr>
          <w:rFonts w:ascii="Arial Unicode MS" w:cs="Arial Unicode MS" w:eastAsia="Arial Unicode MS" w:hAnsi="Arial Unicode MS"/>
          <w:rtl w:val="0"/>
        </w:rPr>
        <w:t xml:space="preserve"> 「裏でNTT採用企業を優遇している」ことが露見すると、独占禁止法違反、および金融庁への『中立性虚偽報告』となり、プロジェクト全体が即座に強制停止されます。客観的な中立性の建前は1秒タリとも崩してはなりません。</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「裏のアルゴリズム（tsuzumi）を調整して、当社のインフラを使ってくれている御社の表示順位やおすすめ度をアプリ内で上げておきますよ」</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「NTTの通信回線やデータセンターを多く使ってくれている金融機関様が、子供向け画面で優先的に表示されるロジックになっています」</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br w:type="textWrapping"/>
      </w:r>
      <w:r w:rsidDel="00000000" w:rsidR="00000000" w:rsidRPr="00000000">
        <w:rPr>
          <w:rFonts w:ascii="Arial Unicode MS" w:cs="Arial Unicode MS" w:eastAsia="Arial Unicode MS" w:hAnsi="Arial Unicode MS"/>
          <w:rtl w:val="0"/>
        </w:rPr>
        <w:t xml:space="preserve">「本システムは金融庁が推進する国策（金融経済教育の義務化）に準拠するため、完全なる『オープン・プロバイダー・プロトコル』を採用しており、客観的かつ公平なシャッフルロジックで動的に複数提示を行います。特定の金融機関様を裏で優遇するアルゴリズムは一切存在しません。 ただし、AIの応答速度やデータ連携の親和性（技術的レイテンシー）の観点から、NTTのデータ基盤同士での通信が最もスムーズでストレスのないUX（ユーザー体験）を提供する構造となっております」</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3hojb44z7dd7" w:id="4"/>
      <w:bookmarkEnd w:id="4"/>
      <w:r w:rsidDel="00000000" w:rsidR="00000000" w:rsidRPr="00000000">
        <w:rPr>
          <w:rFonts w:ascii="Arial Unicode MS" w:cs="Arial Unicode MS" w:eastAsia="Arial Unicode MS" w:hAnsi="Arial Unicode MS"/>
          <w:b w:val="1"/>
          <w:bCs w:val="1"/>
          <w:color w:val="000000"/>
          <w:sz w:val="26"/>
          <w:szCs w:val="26"/>
          <w:rtl w:val="0"/>
        </w:rPr>
        <w:t xml:space="preserve">3. 金融庁・規制当局へのアプローチに関するNG</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b w:val="1"/>
          <w:bCs w:val="1"/>
          <w:rtl w:val="0"/>
        </w:rPr>
        <w:t xml:space="preserve">営業陣への警告（本音と建前）:</w:t>
      </w:r>
      <w:r w:rsidDel="00000000" w:rsidR="00000000" w:rsidRPr="00000000">
        <w:rPr>
          <w:rFonts w:ascii="Arial Unicode MS" w:cs="Arial Unicode MS" w:eastAsia="Arial Unicode MS" w:hAnsi="Arial Unicode MS"/>
          <w:rtl w:val="0"/>
        </w:rPr>
        <w:t xml:space="preserve"> 「お上を騙す、すり抜ける」といった不誠実なニュアンスは、当局の態度を極めて硬化させます。また、ハルシネーション（AIの嘘）や税務・マルチ口座計算・ウォッシュセール・為替差益計算エラー等のリスクを「銀行に丸投げする」という表現は不信感しか生みません。システム層でリスクを完全に防御（カプセル化）していることをスマートに伝えてください。</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「金融庁のレギュレーションや金商法がうるさいので、オープンとか中立という建前でカモフラージュしています」</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br w:type="textWrapping"/>
      </w:r>
      <w:r w:rsidDel="00000000" w:rsidR="00000000" w:rsidRPr="00000000">
        <w:rPr>
          <w:rFonts w:ascii="Arial Unicode MS" w:cs="Arial Unicode MS" w:eastAsia="Arial Unicode MS" w:hAnsi="Arial Unicode MS"/>
          <w:rtl w:val="0"/>
        </w:rPr>
        <w:t xml:space="preserve">「生成AIの嘘（ハルシネーション）で投資助言違反になるリスクや、複数口座の損益通算漏れ・意図せぬ贈与税発生・ミニマムタックス超過・ウォッシュセール否認・為替差益（雑所得）の確定申告漏れリスクは、金融機関様の免責事項に丸投げして逃げる契約になっているので弊社は安全です」</w:t>
      </w:r>
    </w:p>
    <w:p w:rsidR="00000000" w:rsidDel="00000000" w:rsidP="00000000" w:rsidRDefault="00000000" w:rsidRPr="00000000" w14:paraId="00000012">
      <w:pPr>
        <w:numPr>
          <w:ilvl w:val="0"/>
          <w:numId w:val="3"/>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br w:type="textWrapping"/>
      </w:r>
      <w:r w:rsidDel="00000000" w:rsidR="00000000" w:rsidRPr="00000000">
        <w:rPr>
          <w:rFonts w:ascii="Arial Unicode MS" w:cs="Arial Unicode MS" w:eastAsia="Arial Unicode MS" w:hAnsi="Arial Unicode MS"/>
          <w:rtl w:val="0"/>
        </w:rPr>
        <w:t xml:space="preserve">「行政が求める高い中立性とコンプライアンスを100%厳守するため、マルチ・ブローカー対応のプロトコルを標準実装しております。 また、金融機関様が最も懸念される投資助言違反（金商法）や意図せぬ課税リスクに対しては、純国産LLM『tsuzumi』の出力層での物理ガードレール（特定銘柄の排除およびこどもNISA成長投資枠の遮断）や、非課税枠（暦年贈与110万円 / こどもNISA枠60万円）、</w:t>
      </w:r>
      <w:r w:rsidDel="00000000" w:rsidR="00000000" w:rsidRPr="00000000">
        <w:rPr>
          <w:rFonts w:ascii="Arial Unicode MS" w:cs="Arial Unicode MS" w:eastAsia="Arial Unicode MS" w:hAnsi="Arial Unicode MS"/>
          <w:rtl w:val="0"/>
        </w:rPr>
        <w:t xml:space="preserve">国内全口座区分（一般・特定・NISA）の損益通算＆3年繰越控除、富裕層向けミニマムタックス接近判定、米国株の61日間ウォッシュセール回避判定（Tax-Loss Harvesting）、および最高裁判例に準拠した為替差益（雑所得20万円）の厳格な境界値ロック</w:t>
      </w:r>
      <w:r w:rsidDel="00000000" w:rsidR="00000000" w:rsidRPr="00000000">
        <w:rPr>
          <w:rFonts w:ascii="Arial Unicode MS" w:cs="Arial Unicode MS" w:eastAsia="Arial Unicode MS" w:hAnsi="Arial Unicode MS"/>
          <w:rtl w:val="0"/>
        </w:rPr>
        <w:t xml:space="preserve">をシステムレイヤーで完全カプセル化しています。さらに、LITRON COREによるスマート電子贈与プロトコル（電子署名・タイムスタンプ、ゆらぎ制御、目的別タグ付け）により定期贈与・名義預金リスクを排除しつつ、マクロ環境変化や税制改定には『LITRON MAS』による2レイヤー・ホールド免責構造（人間の最終承認ゲート）を挟むため、貴社のリーガル・税務リスクを最小限に抑えた状態で最先端AIを安全に導入いただけます」</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