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593nqeebr1l" w:id="0"/>
      <w:bookmarkEnd w:id="0"/>
      <w:r w:rsidDel="00000000" w:rsidR="00000000" w:rsidRPr="00000000">
        <w:rPr>
          <w:b w:val="1"/>
          <w:bCs w:val="1"/>
          <w:sz w:val="46"/>
          <w:szCs w:val="46"/>
          <w:rtl w:val="0"/>
        </w:rPr>
        <w:t xml:space="preserve">16_ 🏛️ 金融庁提出用：実証実験（PoC）実施計画書【v6改訂版】</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b w:val="1"/>
          <w:bCs w:val="1"/>
          <w:rtl w:val="0"/>
        </w:rPr>
        <w:t xml:space="preserve">【文書番号】</w:t>
      </w:r>
      <w:r w:rsidDel="00000000" w:rsidR="00000000" w:rsidRPr="00000000">
        <w:rPr>
          <w:rtl w:val="0"/>
        </w:rPr>
        <w:t xml:space="preserve"> NTT-FSA-2026-001</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b w:val="1"/>
          <w:bCs w:val="1"/>
          <w:rtl w:val="0"/>
        </w:rPr>
        <w:t xml:space="preserve">【申請日】</w:t>
      </w:r>
      <w:r w:rsidDel="00000000" w:rsidR="00000000" w:rsidRPr="00000000">
        <w:rPr>
          <w:rFonts w:ascii="Arial Unicode MS" w:cs="Arial Unicode MS" w:eastAsia="Arial Unicode MS" w:hAnsi="Arial Unicode MS"/>
          <w:rtl w:val="0"/>
        </w:rPr>
        <w:t xml:space="preserve"> 2026年xx月xx日</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【申請者】</w:t>
      </w:r>
      <w:r w:rsidDel="00000000" w:rsidR="00000000" w:rsidRPr="00000000">
        <w:rPr>
          <w:rFonts w:ascii="Arial Unicode MS" w:cs="Arial Unicode MS" w:eastAsia="Arial Unicode MS" w:hAnsi="Arial Unicode MS"/>
          <w:rtl w:val="0"/>
        </w:rPr>
        <w:t xml:space="preserve"> 日本電信電話株式会社（NTT） 金融ソリューション政策推進班</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【プロジェクト名称】</w:t>
      </w:r>
      <w:r w:rsidDel="00000000" w:rsidR="00000000" w:rsidRPr="00000000">
        <w:rPr>
          <w:rFonts w:ascii="Arial Unicode MS" w:cs="Arial Unicode MS" w:eastAsia="Arial Unicode MS" w:hAnsi="Arial Unicode MS"/>
          <w:rtl w:val="0"/>
        </w:rPr>
        <w:t xml:space="preserve"> 次世代金融リテラシー向上および家庭内資産の健全な還流促進に向けた、体験型デジタルサンドボックス環境の実証実験</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3hmrnlynjwz8"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実証実験の目的と社会的意義</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本実証実験は、2022年より義務化された高校における「金融経済教育」の現場が抱える課題（指導リソース・教材の不足）を解決すると同時に、高齢者層に滞留する「1,000兆円超の現預金」を、暦年贈与および新NISA（こどもNISA枠含む）の仕組みを活用して次世代の生産的な長期投資へ安全かつ健全に還流させるための「技術的基盤」を検証することを目的とする。</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j3a27sb3olpd"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実証実験の概要と実施方法</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対象（被験者）</w:t>
      </w:r>
      <w:r w:rsidDel="00000000" w:rsidR="00000000" w:rsidRPr="00000000">
        <w:rPr>
          <w:rFonts w:ascii="Arial Unicode MS" w:cs="Arial Unicode MS" w:eastAsia="Arial Unicode MS" w:hAnsi="Arial Unicode MS"/>
          <w:rtl w:val="0"/>
        </w:rPr>
        <w:t xml:space="preserve">: 協力自治体の指定高校（生徒およびその保護者）約1,000世帯、および検証に同意した認可金融機関。</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実施内容</w:t>
      </w:r>
      <w:r w:rsidDel="00000000" w:rsidR="00000000" w:rsidRPr="00000000">
        <w:rPr>
          <w:rtl w:val="0"/>
        </w:rPr>
        <w:t xml:space="preserve">:</w:t>
      </w:r>
    </w:p>
    <w:p w:rsidR="00000000" w:rsidDel="00000000" w:rsidP="00000000" w:rsidRDefault="00000000" w:rsidRPr="00000000" w14:paraId="0000000B">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生徒側には「お小遣い帳」の延長として、選択のトレードオフ（流動性と機会損失）を学ぶ仮想シミュレーション環境を提供。</w:t>
      </w:r>
    </w:p>
    <w:p w:rsidR="00000000" w:rsidDel="00000000" w:rsidP="00000000" w:rsidRDefault="00000000" w:rsidRPr="00000000" w14:paraId="0000000C">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保護者側には、そのログに応じた「暦年贈与枠（110万円）およびこどもNISA枠（60万円）を活用した資産移転シミュレーション」、</w:t>
      </w:r>
      <w:r w:rsidDel="00000000" w:rsidR="00000000" w:rsidRPr="00000000">
        <w:rPr>
          <w:rFonts w:ascii="Arial Unicode MS" w:cs="Arial Unicode MS" w:eastAsia="Arial Unicode MS" w:hAnsi="Arial Unicode MS"/>
          <w:rtl w:val="0"/>
        </w:rPr>
        <w:t xml:space="preserve">全証券口座区分（一般・特定・NISA）に対応した損益通算・繰越控除・税務自動化シミュレーション</w:t>
      </w:r>
      <w:r w:rsidDel="00000000" w:rsidR="00000000" w:rsidRPr="00000000">
        <w:rPr>
          <w:rFonts w:ascii="Arial Unicode MS" w:cs="Arial Unicode MS" w:eastAsia="Arial Unicode MS" w:hAnsi="Arial Unicode MS"/>
          <w:rtl w:val="0"/>
        </w:rPr>
        <w:t xml:space="preserve">、およびスマート電子贈与手続きを提供する。</w:t>
      </w:r>
    </w:p>
    <w:p w:rsidR="00000000" w:rsidDel="00000000" w:rsidP="00000000" w:rsidRDefault="00000000" w:rsidRPr="00000000" w14:paraId="0000000D">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検証期間</w:t>
      </w:r>
      <w:r w:rsidDel="00000000" w:rsidR="00000000" w:rsidRPr="00000000">
        <w:rPr>
          <w:rFonts w:ascii="Arial Unicode MS" w:cs="Arial Unicode MS" w:eastAsia="Arial Unicode MS" w:hAnsi="Arial Unicode MS"/>
          <w:rtl w:val="0"/>
        </w:rPr>
        <w:t xml:space="preserve">: 2026年10月1日 〜 2027年3月31日（6ヶ月間）</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xwgo6y1p9rqq"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法的課題のクリア（リーガル＆タックス・ガードレールの検証）</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本実証の最大の着眼点は、行政および利用者が懸念する「法的リスク・税務エラー」が、システムレイヤーの物理ロックおよび国産LLMの制御技術によって100%排除可能かを確認することである。</w:t>
      </w:r>
    </w:p>
    <w:p w:rsidR="00000000" w:rsidDel="00000000" w:rsidP="00000000" w:rsidRDefault="00000000" w:rsidRPr="00000000" w14:paraId="00000010">
      <w:pPr>
        <w:pStyle w:val="Heading4"/>
        <w:keepNext w:val="0"/>
        <w:keepLines w:val="0"/>
        <w:spacing w:after="40" w:before="0" w:lineRule="auto"/>
        <w:rPr>
          <w:b w:val="1"/>
          <w:bCs w:val="1"/>
          <w:color w:val="000000"/>
          <w:sz w:val="22"/>
          <w:szCs w:val="22"/>
        </w:rPr>
      </w:pPr>
      <w:bookmarkStart w:colFirst="0" w:colLast="0" w:name="_a22mszmricq6" w:id="4"/>
      <w:bookmarkEnd w:id="4"/>
      <w:r w:rsidDel="00000000" w:rsidR="00000000" w:rsidRPr="00000000">
        <w:rPr>
          <w:rFonts w:ascii="Arial Unicode MS" w:cs="Arial Unicode MS" w:eastAsia="Arial Unicode MS" w:hAnsi="Arial Unicode MS"/>
          <w:b w:val="1"/>
          <w:bCs w:val="1"/>
          <w:color w:val="000000"/>
          <w:sz w:val="22"/>
          <w:szCs w:val="22"/>
          <w:rtl w:val="0"/>
        </w:rPr>
        <w:t xml:space="preserve">① 金融商品取引法（投資助言規制）およびマルチ口座・NISA制度適合への対応</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純国産LLM「tsuzumi」のアウトプット層に「出力検閲フィルター（物理ガードレール）」を実装。特定個別銘柄の推奨や断定的利益の約束を物理的に遮断・出力拒否する機能を検証。</w:t>
      </w:r>
    </w:p>
    <w:p w:rsidR="00000000" w:rsidDel="00000000" w:rsidP="00000000" w:rsidRDefault="00000000" w:rsidRPr="00000000" w14:paraId="00000012">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一般・特定・NISA口座間の適切なルーティングを行い、こどもNISA制度に適合させるため個別株等の「成長投資枠」をハードコードで物理遮断し、つみたて投資枠対象商品のみに限定するフィルタリング機能を検証。助言行為の完全なノン・アクションナブル（非該当性）をシステムレベルで担保する。</w:t>
      </w:r>
    </w:p>
    <w:p w:rsidR="00000000" w:rsidDel="00000000" w:rsidP="00000000" w:rsidRDefault="00000000" w:rsidRPr="00000000" w14:paraId="00000013">
      <w:pPr>
        <w:pStyle w:val="Heading4"/>
        <w:keepNext w:val="0"/>
        <w:keepLines w:val="0"/>
        <w:spacing w:after="40" w:before="0" w:lineRule="auto"/>
        <w:rPr>
          <w:b w:val="1"/>
          <w:bCs w:val="1"/>
          <w:color w:val="000000"/>
          <w:sz w:val="22"/>
          <w:szCs w:val="22"/>
        </w:rPr>
      </w:pPr>
      <w:bookmarkStart w:colFirst="0" w:colLast="0" w:name="_uqwb83h3p46j" w:id="5"/>
      <w:bookmarkEnd w:id="5"/>
      <w:r w:rsidDel="00000000" w:rsidR="00000000" w:rsidRPr="00000000">
        <w:rPr>
          <w:rFonts w:ascii="Arial Unicode MS" w:cs="Arial Unicode MS" w:eastAsia="Arial Unicode MS" w:hAnsi="Arial Unicode MS"/>
          <w:b w:val="1"/>
          <w:bCs w:val="1"/>
          <w:color w:val="000000"/>
          <w:sz w:val="22"/>
          <w:szCs w:val="22"/>
          <w:rtl w:val="0"/>
        </w:rPr>
        <w:t xml:space="preserve">② 相続税・贈与税法（非課税枠）、高度税務処理および名義預金リスクへの対応</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年間110万円（暦年贈与）および年間60万円（こどもNISA枠）の基礎控除額を「絶対境界値（ハードバウンダリ）」としてシステムにハードコード設定。</w:t>
      </w:r>
    </w:p>
    <w:p w:rsidR="00000000" w:rsidDel="00000000" w:rsidP="00000000" w:rsidRDefault="00000000" w:rsidRPr="00000000" w14:paraId="00000015">
      <w:pPr>
        <w:numPr>
          <w:ilvl w:val="0"/>
          <w:numId w:val="4"/>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国内全口座区分（一般・特定・NISA）を跨ぐ損益通算および3年間の繰越控除算定ロジック、富裕層向けミニマムタックス（最低30%課税）の接近自動判定、ならびに米国株取引における61日間ウォッシュセール（30日ルール）自動回避判定・代替銘柄提案（Tax-Loss Harvesting）モジュールの精度を検証する。</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累積額や税務閾値が境界値に接近した時点でアラートを発信し、境界値を超えるトランザクションはシステム側で自動ホールド（物理ロック）し、専門動線へ最適ルーティングする。</w:t>
      </w:r>
    </w:p>
    <w:p w:rsidR="00000000" w:rsidDel="00000000" w:rsidP="00000000" w:rsidRDefault="00000000" w:rsidRPr="00000000" w14:paraId="00000017">
      <w:pPr>
        <w:numPr>
          <w:ilvl w:val="0"/>
          <w:numId w:val="4"/>
        </w:numPr>
        <w:spacing w:after="240" w:lineRule="auto"/>
        <w:ind w:left="720" w:hanging="360"/>
      </w:pPr>
      <w:r w:rsidDel="00000000" w:rsidR="00000000" w:rsidRPr="00000000">
        <w:rPr>
          <w:rFonts w:ascii="Arial Unicode MS" w:cs="Arial Unicode MS" w:eastAsia="Arial Unicode MS" w:hAnsi="Arial Unicode MS"/>
          <w:rtl w:val="0"/>
        </w:rPr>
        <w:t xml:space="preserve">さらに、LITRON COREによるスマート電子贈与プロトコル（電子署名・タイムスタンプの自動付与、贈与時期・金額のゆらぎ制御、目的別タグ付け）を介することで、定期贈与認定および名義預金認定リスクの完全排除を検証する。</w:t>
      </w:r>
    </w:p>
    <w:p w:rsidR="00000000" w:rsidDel="00000000" w:rsidP="00000000" w:rsidRDefault="00000000" w:rsidRPr="00000000" w14:paraId="00000018">
      <w:pPr>
        <w:pStyle w:val="Heading4"/>
        <w:keepNext w:val="0"/>
        <w:keepLines w:val="0"/>
        <w:spacing w:after="40" w:before="0" w:lineRule="auto"/>
        <w:rPr>
          <w:b w:val="1"/>
          <w:bCs w:val="1"/>
          <w:color w:val="000000"/>
          <w:sz w:val="22"/>
          <w:szCs w:val="22"/>
        </w:rPr>
      </w:pPr>
      <w:bookmarkStart w:colFirst="0" w:colLast="0" w:name="_jup1w1wcngrj" w:id="6"/>
      <w:bookmarkEnd w:id="6"/>
      <w:r w:rsidDel="00000000" w:rsidR="00000000" w:rsidRPr="00000000">
        <w:rPr>
          <w:rFonts w:ascii="Arial Unicode MS" w:cs="Arial Unicode MS" w:eastAsia="Arial Unicode MS" w:hAnsi="Arial Unicode MS"/>
          <w:b w:val="1"/>
          <w:bCs w:val="1"/>
          <w:color w:val="000000"/>
          <w:sz w:val="22"/>
          <w:szCs w:val="22"/>
          <w:rtl w:val="0"/>
        </w:rPr>
        <w:t xml:space="preserve">③ 最高裁判例準拠の為替差益自動算定および雑所得（20万円）境界値対応</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外貨積立や高頻度取引等に伴う為替差益に関し、最高裁判決に準拠した算定アルゴリズム（移動平均法／総平均法）をエッジおよびAIレイヤーに組み込み、リアルタイムで所得額を自動計算する機能を検証。</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rFonts w:ascii="Arial Unicode MS" w:cs="Arial Unicode MS" w:eastAsia="Arial Unicode MS" w:hAnsi="Arial Unicode MS"/>
          <w:rtl w:val="0"/>
        </w:rPr>
        <w:t xml:space="preserve">年間累積の為替差益（雑所得）が給与所得者の確定申告ラインである20万円に接近・到達した際、システム側で自動アラートを発信し、申告が必要な取引をホールドして提携税理士・申告サポート画面へ誘導するプロトコルの安全性を検証する。</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sp06raqz97k4" w:id="7"/>
      <w:bookmarkEnd w:id="7"/>
      <w:r w:rsidDel="00000000" w:rsidR="00000000" w:rsidRPr="00000000">
        <w:rPr>
          <w:rFonts w:ascii="Arial Unicode MS" w:cs="Arial Unicode MS" w:eastAsia="Arial Unicode MS" w:hAnsi="Arial Unicode MS"/>
          <w:b w:val="1"/>
          <w:bCs w:val="1"/>
          <w:color w:val="000000"/>
          <w:sz w:val="26"/>
          <w:szCs w:val="26"/>
          <w:rtl w:val="0"/>
        </w:rPr>
        <w:t xml:space="preserve">4. 競争政策上の中立性担保（オープン・プロバイダー・プロトコル）</w:t>
      </w:r>
    </w:p>
    <w:p w:rsidR="00000000" w:rsidDel="00000000" w:rsidP="00000000" w:rsidRDefault="00000000" w:rsidRPr="00000000" w14:paraId="0000001C">
      <w:pPr>
        <w:spacing w:after="240" w:lineRule="auto"/>
        <w:rPr/>
      </w:pPr>
      <w:r w:rsidDel="00000000" w:rsidR="00000000" w:rsidRPr="00000000">
        <w:rPr>
          <w:rFonts w:ascii="Arial Unicode MS" w:cs="Arial Unicode MS" w:eastAsia="Arial Unicode MS" w:hAnsi="Arial Unicode MS"/>
          <w:rtl w:val="0"/>
        </w:rPr>
        <w:t xml:space="preserve">本プラットフォームは特定の民間金融機関を優遇するものではない。実証実験において、シミュレーションから実際の口座開設フォーム（外部サイト）へ遷移する動線は、金融庁の認可金融機関リスト（ホワイトリスト）に基づき、動的に複数提示・シャッフル表示を行う『オープン・プロバイダー・プロトコル』を適用する。これにより、特定の経済圏への顧客囲い込み（エココマーシャル）を完全に排除し、市場の公正な競争環境を維持する。</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xkbaa0slqus6" w:id="8"/>
      <w:bookmarkEnd w:id="8"/>
      <w:r w:rsidDel="00000000" w:rsidR="00000000" w:rsidRPr="00000000">
        <w:rPr>
          <w:rFonts w:ascii="Arial Unicode MS" w:cs="Arial Unicode MS" w:eastAsia="Arial Unicode MS" w:hAnsi="Arial Unicode MS"/>
          <w:b w:val="1"/>
          <w:bCs w:val="1"/>
          <w:color w:val="000000"/>
          <w:sz w:val="26"/>
          <w:szCs w:val="26"/>
          <w:rtl w:val="0"/>
        </w:rPr>
        <w:t xml:space="preserve">5. 安全管理措置と高度なデータプライバシー（ガバナンスとインフラ）</w:t>
      </w:r>
    </w:p>
    <w:p w:rsidR="00000000" w:rsidDel="00000000" w:rsidP="00000000" w:rsidRDefault="00000000" w:rsidRPr="00000000" w14:paraId="0000001E">
      <w:pPr>
        <w:spacing w:after="240" w:lineRule="auto"/>
        <w:rPr/>
      </w:pPr>
      <w:r w:rsidDel="00000000" w:rsidR="00000000" w:rsidRPr="00000000">
        <w:rPr>
          <w:rFonts w:ascii="Arial Unicode MS" w:cs="Arial Unicode MS" w:eastAsia="Arial Unicode MS" w:hAnsi="Arial Unicode MS"/>
          <w:rtl w:val="0"/>
        </w:rPr>
        <w:t xml:space="preserve">金融機関の機微情報や個人のライフログデータを安全に扱うため、本実証実験では以下の三重の安全弁を実装し、地政学リスクを完全に排除したセキュアなデータ流通を検証する。</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エッジ完結型一時解析（フロントエンド）</w:t>
      </w:r>
      <w:r w:rsidDel="00000000" w:rsidR="00000000" w:rsidRPr="00000000">
        <w:rPr>
          <w:rtl w:val="0"/>
        </w:rPr>
        <w:t xml:space="preserve">:</w:t>
      </w:r>
    </w:p>
    <w:p w:rsidR="00000000" w:rsidDel="00000000" w:rsidP="00000000" w:rsidRDefault="00000000" w:rsidRPr="00000000" w14:paraId="00000020">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WebAssembly（Wasm）を活用してユーザー端末のエッジ側で初期解析（定性判断・初期為替・損益通算・ウォッシュセール判定含む）を自己完結。バックエンドへの不要な個人情報流出を最小限に抑える。</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安全な2レイヤー・ホールド免責構造（LITRON MAS）</w:t>
      </w:r>
      <w:r w:rsidDel="00000000" w:rsidR="00000000" w:rsidRPr="00000000">
        <w:rPr>
          <w:rtl w:val="0"/>
        </w:rPr>
        <w:t xml:space="preserve">:</w:t>
      </w:r>
    </w:p>
    <w:p w:rsidR="00000000" w:rsidDel="00000000" w:rsidP="00000000" w:rsidRDefault="00000000" w:rsidRPr="00000000" w14:paraId="00000022">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マクロ環境の急変やレギュレーション変更発生時には、生成AIソリューション「LITRON MAS（マルチエージェント）」が起動し、自動的に機能をホールド。管理責任者（人間）の手動承認を経てから機能制御を行う安全なゲートウェイ構造を検証する。</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国内限定セキュアデータ基盤</w:t>
      </w:r>
      <w:r w:rsidDel="00000000" w:rsidR="00000000" w:rsidRPr="00000000">
        <w:rPr>
          <w:rtl w:val="0"/>
        </w:rPr>
        <w:t xml:space="preserve">:</w:t>
      </w:r>
    </w:p>
    <w:p w:rsidR="00000000" w:rsidDel="00000000" w:rsidP="00000000" w:rsidRDefault="00000000" w:rsidRPr="00000000" w14:paraId="00000024">
      <w:pPr>
        <w:numPr>
          <w:ilvl w:val="1"/>
          <w:numId w:val="5"/>
        </w:numPr>
        <w:spacing w:after="240" w:lineRule="auto"/>
        <w:ind w:left="1440" w:hanging="360"/>
      </w:pPr>
      <w:r w:rsidDel="00000000" w:rsidR="00000000" w:rsidRPr="00000000">
        <w:rPr>
          <w:rFonts w:ascii="Arial Unicode MS" w:cs="Arial Unicode MS" w:eastAsia="Arial Unicode MS" w:hAnsi="Arial Unicode MS"/>
          <w:rtl w:val="0"/>
        </w:rPr>
        <w:t xml:space="preserve">すべてのAI処理（tsuzumi）および蓄積ログデータの管理は、海外サーバーを経由しない国内の高度なNTTセキュアデータ基盤上で非同期リレー（基幹負荷ゼロ）にて行い、データ主権を完全に日本国内で保護する。</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