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rrwks4trb4be" w:id="0"/>
      <w:bookmarkEnd w:id="0"/>
      <w:r w:rsidDel="00000000" w:rsidR="00000000" w:rsidRPr="00000000">
        <w:rPr>
          <w:b w:val="1"/>
          <w:bCs w:val="1"/>
          <w:rtl w:val="0"/>
        </w:rPr>
        <w:t xml:space="preserve">17_ ⚖️ プロジェクト『TWB』内部統制資料：リーガル＆リスクマネジメント・サマリー【v6改訂版】</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【機密情報 / 経営幹部・法務コンプライアンス部門限定】</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対象</w:t>
      </w:r>
      <w:r w:rsidDel="00000000" w:rsidR="00000000" w:rsidRPr="00000000">
        <w:rPr>
          <w:rFonts w:ascii="Arial Unicode MS" w:cs="Arial Unicode MS" w:eastAsia="Arial Unicode MS" w:hAnsi="Arial Unicode MS"/>
          <w:rtl w:val="0"/>
        </w:rPr>
        <w:t xml:space="preserve">: 法務部長、独占禁止法遵守委員会、およびリスクマネジメント評議会</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発信</w:t>
      </w:r>
      <w:r w:rsidDel="00000000" w:rsidR="00000000" w:rsidRPr="00000000">
        <w:rPr>
          <w:rFonts w:ascii="Arial Unicode MS" w:cs="Arial Unicode MS" w:eastAsia="Arial Unicode MS" w:hAnsi="Arial Unicode MS"/>
          <w:rtl w:val="0"/>
        </w:rPr>
        <w:t xml:space="preserve">: 日本国内ビジネス開発（BizDev）＆ システムアーキテクチャ統合チーム</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件名</w:t>
      </w:r>
      <w:r w:rsidDel="00000000" w:rsidR="00000000" w:rsidRPr="00000000">
        <w:rPr>
          <w:rFonts w:ascii="Arial Unicode MS" w:cs="Arial Unicode MS" w:eastAsia="Arial Unicode MS" w:hAnsi="Arial Unicode MS"/>
          <w:rtl w:val="0"/>
        </w:rPr>
        <w:t xml:space="preserve">: 次世代親子資産継承型AIプラットフォーム『TWB』における法的・規制リスクの回避および事業適合性（建前と本音のロジック）</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xbxwg3y6nwm6"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事業概要と経済的合理性（本音の力学：インフラ奪取戦略）</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本プロジェクト『TWB（Tsuzumi Wealth Bridge）』は、国内第一線（Tier-1）の金融機関（メガバンク、大手ネット証券等）へ初期ライセンス無償（フリーミアム）で提供する戦略的フロントエンドツールである。 本事業の真の収益化モデルは、ツールの提供そのものではなく、アプリ内に蓄積される莫大なライフログデータ、シミュレーションデータ、および</w:t>
      </w:r>
      <w:r w:rsidDel="00000000" w:rsidR="00000000" w:rsidRPr="00000000">
        <w:rPr>
          <w:rFonts w:ascii="Arial Unicode MS" w:cs="Arial Unicode MS" w:eastAsia="Arial Unicode MS" w:hAnsi="Arial Unicode MS"/>
          <w:rtl w:val="0"/>
        </w:rPr>
        <w:t xml:space="preserve">マルチ口座間の高度な税務・取引データ</w:t>
      </w:r>
      <w:r w:rsidDel="00000000" w:rsidR="00000000" w:rsidRPr="00000000">
        <w:rPr>
          <w:rFonts w:ascii="Arial Unicode MS" w:cs="Arial Unicode MS" w:eastAsia="Arial Unicode MS" w:hAnsi="Arial Unicode MS"/>
          <w:rtl w:val="0"/>
        </w:rPr>
        <w:t xml:space="preserve">が引き起こす「データの重力（Data Gravity）」にある。他社メガクラウド（AWS/GCP/Azure等）環境とTWB間で発生する「環境跨ぎの通信コスト（Egress料金 / データ転送量課金）の肥大化」および「マルチクラウド間の通信遅延（レイテンシー）」を顧客側に強く認識させ、最終的に金融機関の基幹システムおよび取引データ基盤ごと、NTTのセキュアクラウドや次世代情報通信基盤（IOWN等）へ包括的に統合・リプレース（奪取）させることを最終的な経済的合理性（ROI）とする。</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ror4b5sn6jtr"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独占禁止法（抱き合わせ・不当囲い込み）リスクの回避（建前のロジック）</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t8woq97nccx6" w:id="3"/>
      <w:bookmarkEnd w:id="3"/>
      <w:r w:rsidDel="00000000" w:rsidR="00000000" w:rsidRPr="00000000">
        <w:rPr>
          <w:rFonts w:ascii="Arial Unicode MS" w:cs="Arial Unicode MS" w:eastAsia="Arial Unicode MS" w:hAnsi="Arial Unicode MS"/>
          <w:b w:val="1"/>
          <w:bCs w:val="1"/>
          <w:color w:val="000000"/>
          <w:sz w:val="22"/>
          <w:szCs w:val="22"/>
          <w:rtl w:val="0"/>
        </w:rPr>
        <w:t xml:space="preserve">A. オープン・プラグイン構造による「排推進行為」の網羅的否定</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特定の市場（AIアプリの無償提供）における優位性を利用して、別の市場（クラウドインフラ市場）から競合他社を不当に排除する行為は、独占禁止法（不公正な取引方法・抱き合わせ販売等）に抵触するリスクがある。</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【回避策（システム設計）】</w:t>
      </w:r>
      <w:r w:rsidDel="00000000" w:rsidR="00000000" w:rsidRPr="00000000">
        <w:rPr>
          <w:rtl w:val="0"/>
        </w:rPr>
        <w:t xml:space="preserve">:</w:t>
      </w:r>
    </w:p>
    <w:p w:rsidR="00000000" w:rsidDel="00000000" w:rsidP="00000000" w:rsidRDefault="00000000" w:rsidRPr="00000000" w14:paraId="0000000D">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TWBは完全な「オープン・プラグイン・アーキテクチャ」を採用する。契約開始時において、金融機関に対してNTTインフラへの移行を一切義務付けない。金融庁のホワイトリスト（認可金融機関）に登録されている事業者であれば、標準プロトコル（API）経由で既存の他社クラウド環境からでも自由に接続できる構造を死守する。これにより、「抱き合わせ」や「取引拒絶」という法的告発の根拠をシステムレベルで完全に消滅させる。</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gczd20bucu0s" w:id="4"/>
      <w:bookmarkEnd w:id="4"/>
      <w:r w:rsidDel="00000000" w:rsidR="00000000" w:rsidRPr="00000000">
        <w:rPr>
          <w:rFonts w:ascii="Arial Unicode MS" w:cs="Arial Unicode MS" w:eastAsia="Arial Unicode MS" w:hAnsi="Arial Unicode MS"/>
          <w:b w:val="1"/>
          <w:bCs w:val="1"/>
          <w:color w:val="000000"/>
          <w:sz w:val="22"/>
          <w:szCs w:val="22"/>
          <w:rtl w:val="0"/>
        </w:rPr>
        <w:t xml:space="preserve">B. 『オープン・プロバイダー・プロトコル』による客観的中立性の担保</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tl w:val="0"/>
        </w:rPr>
        <w:t xml:space="preserve">:</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AIのアルゴリズムを操作して、特定の金融機関やNTTと親しい事業者を不当に優遇・上位表示させた場合、金融庁（FSA）からの即座の業務停止処分、および独占禁止法上の差別的取扱いに該当する。</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【回避策（アルゴリズムの中立性）】</w:t>
      </w:r>
      <w:r w:rsidDel="00000000" w:rsidR="00000000" w:rsidRPr="00000000">
        <w:rPr>
          <w:rtl w:val="0"/>
        </w:rPr>
        <w:t xml:space="preserve">:</w:t>
      </w:r>
    </w:p>
    <w:p w:rsidR="00000000" w:rsidDel="00000000" w:rsidP="00000000" w:rsidRDefault="00000000" w:rsidRPr="00000000" w14:paraId="00000012">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一般ユーザーが触れるフロントUIには、客観的かつ非差別的な基準に基づいて動的に提示順序をシャッフルする『オープン・プロバイダー・プロトコル（マルチ・ブローカー対応）』を実装する。これにより、規制当局に対して100%の「客観的中立性」を証明する。</w:t>
      </w:r>
    </w:p>
    <w:p w:rsidR="00000000" w:rsidDel="00000000" w:rsidP="00000000" w:rsidRDefault="00000000" w:rsidRPr="00000000" w14:paraId="00000013">
      <w:pPr>
        <w:spacing w:after="240" w:lineRule="auto"/>
        <w:ind w:left="600" w:right="600" w:firstLine="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【アーキテクチャによるインフラ誘導の秘密（本音）】</w:t>
      </w:r>
    </w:p>
    <w:p w:rsidR="00000000" w:rsidDel="00000000" w:rsidP="00000000" w:rsidRDefault="00000000" w:rsidRPr="00000000" w14:paraId="00000014">
      <w:pPr>
        <w:spacing w:after="240" w:lineRule="auto"/>
        <w:ind w:left="600" w:right="600" w:firstLine="0"/>
        <w:rPr/>
      </w:pPr>
      <w:r w:rsidDel="00000000" w:rsidR="00000000" w:rsidRPr="00000000">
        <w:rPr>
          <w:rFonts w:ascii="Arial Unicode MS" w:cs="Arial Unicode MS" w:eastAsia="Arial Unicode MS" w:hAnsi="Arial Unicode MS"/>
          <w:rtl w:val="0"/>
        </w:rPr>
        <w:t xml:space="preserve">アルゴリズム自体は完全に中立（平等）に設計するが、下層のAI基盤には”純国産LLM「tsuzumi」および「LITRON」”が駆動する。そのため、コアデータベースや取引システムをNTTのデータ基盤上にホストしている金融機関の方が、物理的な通信遅延（レイテンシー）が圧倒的に低くなり、リアルタイム解析速度が劇的に向上する。結果として、純粋な「技術的優位性（UXスコアの差）」によってNTTインフラ採用企業が自然と高いパフォーマンスを発揮する構造となり、意図的な規制回避や不正操作の指摘からプラットフォームを完全に無傷な状態に絶縁する。</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hazsobhkihlj" w:id="5"/>
      <w:bookmarkEnd w:id="5"/>
      <w:r w:rsidDel="00000000" w:rsidR="00000000" w:rsidRPr="00000000">
        <w:rPr>
          <w:rFonts w:ascii="Arial Unicode MS" w:cs="Arial Unicode MS" w:eastAsia="Arial Unicode MS" w:hAnsi="Arial Unicode MS"/>
          <w:b w:val="1"/>
          <w:bCs w:val="1"/>
          <w:color w:val="000000"/>
          <w:sz w:val="26"/>
          <w:szCs w:val="26"/>
          <w:rtl w:val="0"/>
        </w:rPr>
        <w:t xml:space="preserve">3. 金融規制（金商法・税制）およびハルシネーションの防御壁（カプセル化）</w:t>
      </w:r>
    </w:p>
    <w:p w:rsidR="00000000" w:rsidDel="00000000" w:rsidP="00000000" w:rsidRDefault="00000000" w:rsidRPr="00000000" w14:paraId="00000016">
      <w:pPr>
        <w:pStyle w:val="Heading4"/>
        <w:keepNext w:val="0"/>
        <w:keepLines w:val="0"/>
        <w:spacing w:after="40" w:before="0" w:lineRule="auto"/>
        <w:rPr>
          <w:b w:val="1"/>
          <w:bCs w:val="1"/>
          <w:color w:val="000000"/>
          <w:sz w:val="22"/>
          <w:szCs w:val="22"/>
        </w:rPr>
      </w:pPr>
      <w:bookmarkStart w:colFirst="0" w:colLast="0" w:name="_u310xstx74e6" w:id="6"/>
      <w:bookmarkEnd w:id="6"/>
      <w:r w:rsidDel="00000000" w:rsidR="00000000" w:rsidRPr="00000000">
        <w:rPr>
          <w:rFonts w:ascii="Arial Unicode MS" w:cs="Arial Unicode MS" w:eastAsia="Arial Unicode MS" w:hAnsi="Arial Unicode MS"/>
          <w:b w:val="1"/>
          <w:bCs w:val="1"/>
          <w:color w:val="000000"/>
          <w:sz w:val="22"/>
          <w:szCs w:val="22"/>
          <w:rtl w:val="0"/>
        </w:rPr>
        <w:t xml:space="preserve">A. 金融商品取引法（投資助言規制）およびNISA制度の完全隔離</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tl w:val="0"/>
        </w:rPr>
        <w:t xml:space="preserve">:</w:t>
      </w:r>
    </w:p>
    <w:p w:rsidR="00000000" w:rsidDel="00000000" w:rsidP="00000000" w:rsidRDefault="00000000" w:rsidRPr="00000000" w14:paraId="00000018">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生成AIがユーザーに対して特定の個別銘柄の購入を勧めたり、断定的な利益の見込みを回答（ハルシネーション）した場合、無登録での「投資助言行為（金商法違反）」に該当し、刑事罰の対象となる。</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【回避策】</w:t>
      </w:r>
      <w:r w:rsidDel="00000000" w:rsidR="00000000" w:rsidRPr="00000000">
        <w:rPr>
          <w:rtl w:val="0"/>
        </w:rPr>
        <w:t xml:space="preserve">:</w:t>
      </w:r>
    </w:p>
    <w:p w:rsidR="00000000" w:rsidDel="00000000" w:rsidP="00000000" w:rsidRDefault="00000000" w:rsidRPr="00000000" w14:paraId="0000001A">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tsuzumiのアウトプット（出力）層に「出力検閲フィルター（物理ガードレール）」をハードコードする。特定銘柄のティッカーコードや個別商品名の出力を遮断し、こどもNISAにおける成長投資枠を物理的に排除してつみたて投資枠対象のみに限定することで、一般・特定・NISAの全口座を跨ぐ高度な税務シミュレーションを行いつつも具体的な投資推奨を絶対に吐き出させない仕組みとし、法的責任の発生源を根絶する。</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edkwmke2p5ax" w:id="7"/>
      <w:bookmarkEnd w:id="7"/>
      <w:r w:rsidDel="00000000" w:rsidR="00000000" w:rsidRPr="00000000">
        <w:rPr>
          <w:rFonts w:ascii="Arial Unicode MS" w:cs="Arial Unicode MS" w:eastAsia="Arial Unicode MS" w:hAnsi="Arial Unicode MS"/>
          <w:b w:val="1"/>
          <w:bCs w:val="1"/>
          <w:color w:val="000000"/>
          <w:sz w:val="22"/>
          <w:szCs w:val="22"/>
          <w:rtl w:val="0"/>
        </w:rPr>
        <w:t xml:space="preserve">B. 意図せぬ課税エラーおよび名義預金・税務リスクのシステム的カプセル化</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tl w:val="0"/>
        </w:rPr>
        <w:t xml:space="preserve">:</w:t>
      </w:r>
    </w:p>
    <w:p w:rsidR="00000000" w:rsidDel="00000000" w:rsidP="00000000" w:rsidRDefault="00000000" w:rsidRPr="00000000" w14:paraId="0000001D">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シミュレーションのバグや計算漏れにより、非課税枠（暦年贈与110万円 / こどもNISA枠60万円）、</w:t>
      </w:r>
      <w:r w:rsidDel="00000000" w:rsidR="00000000" w:rsidRPr="00000000">
        <w:rPr>
          <w:rFonts w:ascii="Arial Unicode MS" w:cs="Arial Unicode MS" w:eastAsia="Arial Unicode MS" w:hAnsi="Arial Unicode MS"/>
          <w:rtl w:val="0"/>
        </w:rPr>
        <w:t xml:space="preserve">一般・特定・NISA間の損益通算/3年繰越控除、ミニマムタックス（最低30%課税）、米国株ウォッシュセール（61日ルール）</w:t>
      </w:r>
      <w:r w:rsidDel="00000000" w:rsidR="00000000" w:rsidRPr="00000000">
        <w:rPr>
          <w:rFonts w:ascii="Arial Unicode MS" w:cs="Arial Unicode MS" w:eastAsia="Arial Unicode MS" w:hAnsi="Arial Unicode MS"/>
          <w:rtl w:val="0"/>
        </w:rPr>
        <w:t xml:space="preserve">、あるいは為替差益（雑所得20万円申告ライン）を超過・逸脱する取引が推奨・実行され、ユーザーに不意の過少申告加算税や追徴課税が課された場合、あるいは定期贈与・名義預金と判定された場合、金融機関および当社への巨額の損害賠償請求に発展する。</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【回避策】</w:t>
      </w:r>
      <w:r w:rsidDel="00000000" w:rsidR="00000000" w:rsidRPr="00000000">
        <w:rPr>
          <w:rtl w:val="0"/>
        </w:rPr>
        <w:t xml:space="preserve">:</w:t>
      </w:r>
    </w:p>
    <w:p w:rsidR="00000000" w:rsidDel="00000000" w:rsidP="00000000" w:rsidRDefault="00000000" w:rsidRPr="00000000" w14:paraId="0000001F">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システム内部に絶対境界値（ハードバウンダリ：暦年贈与110万円、こどもNISA60万円、</w:t>
      </w:r>
      <w:r w:rsidDel="00000000" w:rsidR="00000000" w:rsidRPr="00000000">
        <w:rPr>
          <w:rFonts w:ascii="Arial Unicode MS" w:cs="Arial Unicode MS" w:eastAsia="Arial Unicode MS" w:hAnsi="Arial Unicode MS"/>
          <w:rtl w:val="0"/>
        </w:rPr>
        <w:t xml:space="preserve">全口座損益通算＆繰越控除試算、ミニマムタックス接近判定、ウォッシュセール自動判定、最高裁判例準拠の為替差益20万円</w:t>
      </w:r>
      <w:r w:rsidDel="00000000" w:rsidR="00000000" w:rsidRPr="00000000">
        <w:rPr>
          <w:rFonts w:ascii="Arial Unicode MS" w:cs="Arial Unicode MS" w:eastAsia="Arial Unicode MS" w:hAnsi="Arial Unicode MS"/>
          <w:rtl w:val="0"/>
        </w:rPr>
        <w:t xml:space="preserve">）を厳格にハードロックする。累積額や判定条件が境界値に達した瞬間にトランザクションをシステム側で自動ホールド（物理ロック）し、税理士・専門動線へルーティングする。</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LITRON COREによるスマート電子贈与プロトコル（電子署名・タイムスタンプ、ゆらぎ制御、目的別タグ付け）により税務エビデンスを自動生成し、定期贈与・名義預金リスクを排除する。</w:t>
      </w:r>
    </w:p>
    <w:p w:rsidR="00000000" w:rsidDel="00000000" w:rsidP="00000000" w:rsidRDefault="00000000" w:rsidRPr="00000000" w14:paraId="00000021">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万が一、法改正や地政学リスク等のマクロ環境が急変した場合は、生成AIソリューション「LITRON MAS（マルチエージェント）」が即座に起動し、機能を安全にホールド。貴社の管理責任者による手動承認（人間のチェック）を経るまでゲートを閉じ続ける「2レイヤー・ホールド免責構造」を標準実装する。</w:t>
      </w:r>
    </w:p>
    <w:p w:rsidR="00000000" w:rsidDel="00000000" w:rsidP="00000000" w:rsidRDefault="00000000" w:rsidRPr="00000000" w14:paraId="0000002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