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csvbnsi8f47h" w:id="0"/>
      <w:bookmarkEnd w:id="0"/>
      <w:r w:rsidDel="00000000" w:rsidR="00000000" w:rsidRPr="00000000">
        <w:rPr>
          <w:b w:val="1"/>
          <w:bCs w:val="1"/>
          <w:rtl w:val="0"/>
        </w:rPr>
        <w:t xml:space="preserve">18_ 🗣️ 経営幹部向けプレゼンテーション補足資料（実際のプレゼンピッチ台本）【v6改訂版】</w:t>
      </w:r>
    </w:p>
    <w:p w:rsidR="00000000" w:rsidDel="00000000" w:rsidP="00000000" w:rsidRDefault="00000000" w:rsidRPr="00000000" w14:paraId="0000000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【最新アップデート版：経営幹部・CFO向け 完全防衛＆攻めるピッチ版】</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b w:val="1"/>
          <w:bCs w:val="1"/>
          <w:rtl w:val="0"/>
        </w:rPr>
        <w:t xml:space="preserve">【設定】</w:t>
      </w:r>
      <w:r w:rsidDel="00000000" w:rsidR="00000000" w:rsidRPr="00000000">
        <w:rPr>
          <w:rFonts w:ascii="Arial Unicode MS" w:cs="Arial Unicode MS" w:eastAsia="Arial Unicode MS" w:hAnsi="Arial Unicode MS"/>
          <w:rtl w:val="0"/>
        </w:rPr>
        <w:t xml:space="preserve"> 持ち時間：5分（決裁会議を想定）</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b w:val="1"/>
          <w:bCs w:val="1"/>
          <w:rtl w:val="0"/>
        </w:rPr>
        <w:t xml:space="preserve">【登壇者】</w:t>
      </w:r>
      <w:r w:rsidDel="00000000" w:rsidR="00000000" w:rsidRPr="00000000">
        <w:rPr>
          <w:rFonts w:ascii="Arial Unicode MS" w:cs="Arial Unicode MS" w:eastAsia="Arial Unicode MS" w:hAnsi="Arial Unicode MS"/>
          <w:rtl w:val="0"/>
        </w:rPr>
        <w:t xml:space="preserve"> ビジネス開発部（BizDev）担当者</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揺るぎない自信、冷徹な経済合理性、挑戦的かつスマート</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fxbk1qa1ilmn" w:id="1"/>
      <w:bookmarkEnd w:id="1"/>
      <w:r w:rsidDel="00000000" w:rsidR="00000000" w:rsidRPr="00000000">
        <w:rPr>
          <w:b w:val="1"/>
          <w:bCs w:val="1"/>
          <w:color w:val="000000"/>
          <w:sz w:val="26"/>
          <w:szCs w:val="26"/>
          <w:rtl w:val="0"/>
        </w:rPr>
        <w:t xml:space="preserve">🎤 0分〜1分：フック（課題の提示と常識の破壊）</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「皆さん、現在の日本のリテール金融、特にネット証券やメガバンクが抱える『最大の恐怖』をご存知でしょうか。 それは『死による数兆円規模のチャーン（顧客流出）』です。団塊の世代から40代・50代の子供へ資産が移るその一瞬で、彼らが何十年もかけて集めた預金や証券口座が、他社決済アプリや他社NISA口座へ一気に流出しています。</w:t>
      </w:r>
    </w:p>
    <w:p w:rsidR="00000000" w:rsidDel="00000000" w:rsidP="00000000" w:rsidRDefault="00000000" w:rsidRPr="00000000" w14:paraId="00000008">
      <w:pPr>
        <w:spacing w:after="240" w:lineRule="auto"/>
        <w:rPr/>
      </w:pPr>
      <w:r w:rsidDel="00000000" w:rsidR="00000000" w:rsidRPr="00000000">
        <w:rPr>
          <w:rFonts w:ascii="Arial Unicode MS" w:cs="Arial Unicode MS" w:eastAsia="Arial Unicode MS" w:hAnsi="Arial Unicode MS"/>
          <w:rtl w:val="0"/>
        </w:rPr>
        <w:t xml:space="preserve">本日ご提案する『Tsuzumi Wealth Bridge（TWB）』は、この資産流出を食い止める15年間の『防壁（リテンション・シールド）』となるAIプラットフォームです。 そして、今回の最も重要な戦略は、この強力なシステムを、金融機関へ『ライセンス無料（利益率ゼロ）』で提供するという点です。」</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ctc8slrygqm6" w:id="2"/>
      <w:bookmarkEnd w:id="2"/>
      <w:r w:rsidDel="00000000" w:rsidR="00000000" w:rsidRPr="00000000">
        <w:rPr>
          <w:b w:val="1"/>
          <w:bCs w:val="1"/>
          <w:color w:val="000000"/>
          <w:sz w:val="26"/>
          <w:szCs w:val="26"/>
          <w:rtl w:val="0"/>
        </w:rPr>
        <w:t xml:space="preserve">🎤 1分〜2分：戦略的背景（なぜ無料なのか、データの重力）</w:t>
      </w:r>
    </w:p>
    <w:p w:rsidR="00000000" w:rsidDel="00000000" w:rsidP="00000000" w:rsidRDefault="00000000" w:rsidRPr="00000000" w14:paraId="0000000A">
      <w:pPr>
        <w:spacing w:after="240" w:lineRule="auto"/>
        <w:rPr/>
      </w:pPr>
      <w:r w:rsidDel="00000000" w:rsidR="00000000" w:rsidRPr="00000000">
        <w:rPr>
          <w:rFonts w:ascii="Arial Unicode MS" w:cs="Arial Unicode MS" w:eastAsia="Arial Unicode MS" w:hAnsi="Arial Unicode MS"/>
          <w:rtl w:val="0"/>
        </w:rPr>
        <w:t xml:space="preserve">「『なぜタダで配るのか？』。当然、CFOから厳しい視線が飛んでくることは承知しています。しかし、これは慈善事業ではありません。競合から、金融機関の巨大な基幹インフラを合法的に根こそぎ奪い取るための『最強の撒き餌』です。</w:t>
      </w:r>
    </w:p>
    <w:p w:rsidR="00000000" w:rsidDel="00000000" w:rsidP="00000000" w:rsidRDefault="00000000" w:rsidRPr="00000000" w14:paraId="0000000B">
      <w:pPr>
        <w:spacing w:after="240" w:lineRule="auto"/>
        <w:rPr/>
      </w:pPr>
      <w:r w:rsidDel="00000000" w:rsidR="00000000" w:rsidRPr="00000000">
        <w:rPr>
          <w:rFonts w:ascii="Arial Unicode MS" w:cs="Arial Unicode MS" w:eastAsia="Arial Unicode MS" w:hAnsi="Arial Unicode MS"/>
          <w:rtl w:val="0"/>
        </w:rPr>
        <w:t xml:space="preserve">TWBを『無料』にすることで、彼ら経営陣の導入ハードルをゼロにします。システムが稼働すると何が起きるか。数万人、数十万人の親子が日常的に入力するライフログや資産シミュレーションデータ、</w:t>
      </w:r>
      <w:r w:rsidDel="00000000" w:rsidR="00000000" w:rsidRPr="00000000">
        <w:rPr>
          <w:rFonts w:ascii="Arial Unicode MS" w:cs="Arial Unicode MS" w:eastAsia="Arial Unicode MS" w:hAnsi="Arial Unicode MS"/>
          <w:b w:val="1"/>
          <w:bCs w:val="1"/>
          <w:rtl w:val="0"/>
        </w:rPr>
        <w:t xml:space="preserve">さらには国内全口座区分（一般・特定・NISA）の損益通算ログ、富裕層向けミニマムタックス計算、米国株ウォッシュセール判定、ならびに最高裁判例準拠の為替計算ログ</w:t>
      </w:r>
      <w:r w:rsidDel="00000000" w:rsidR="00000000" w:rsidRPr="00000000">
        <w:rPr>
          <w:rFonts w:ascii="Arial Unicode MS" w:cs="Arial Unicode MS" w:eastAsia="Arial Unicode MS" w:hAnsi="Arial Unicode MS"/>
          <w:rtl w:val="0"/>
        </w:rPr>
        <w:t xml:space="preserve">が、非識別化された上で裏側にある当社のセキュアデータ基盤へ非同期で大量に蓄積され始めます。データが溜まれば溜まるほど、そこには強力な『データの重力（Data Gravity）』が発生します。</w:t>
      </w:r>
    </w:p>
    <w:p w:rsidR="00000000" w:rsidDel="00000000" w:rsidP="00000000" w:rsidRDefault="00000000" w:rsidRPr="00000000" w14:paraId="0000000C">
      <w:pPr>
        <w:spacing w:after="240" w:lineRule="auto"/>
        <w:rPr/>
      </w:pPr>
      <w:r w:rsidDel="00000000" w:rsidR="00000000" w:rsidRPr="00000000">
        <w:rPr>
          <w:rFonts w:ascii="Arial Unicode MS" w:cs="Arial Unicode MS" w:eastAsia="Arial Unicode MS" w:hAnsi="Arial Unicode MS"/>
          <w:rtl w:val="0"/>
        </w:rPr>
        <w:t xml:space="preserve">金融機関が、この溜まったデータを既存の他社メガクラウドにエクスポートして使おうとすれば、莫大なデータ転送量課金、いわゆるEgress料金の爆発と、システム遅延によって彼らのビジネスは破綻します。つまり、彼らはTWBのデータ資産を100%活かし続けるために、基幹データと取引システムごと、NTTグループのセキュアクラウドや次世代情報通信基盤（IOWN等）へ完全引っ越し（包括リプレース）せざるを得ない構造に、経済的合理性によってロックインされるのです。」</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71nfyohx04ri" w:id="3"/>
      <w:bookmarkEnd w:id="3"/>
      <w:r w:rsidDel="00000000" w:rsidR="00000000" w:rsidRPr="00000000">
        <w:rPr>
          <w:b w:val="1"/>
          <w:bCs w:val="1"/>
          <w:color w:val="000000"/>
          <w:sz w:val="26"/>
          <w:szCs w:val="26"/>
          <w:rtl w:val="0"/>
        </w:rPr>
        <w:t xml:space="preserve">🎤 2分〜4分：リスクの完全カプセル化（法務・行政対応）</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「『独占禁止法や金融庁の規制は大丈夫か？』。ここも完全に先回りして、国内法務部門と共に強固な設計（リーガルパッチ）を施しています。</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まず、他社インフラの解約を契約の義務としない『オープン・プラグイン・アーキテクチャ』をとるため、抱き合わせ販売の余地はありません。また、最も警戒される金融庁の『中立性』への対応として、表向きのUIは認可業者を公平にシャッフル提示する『オープン・プロバイダー・プロトコル』を厳格に実装します。</w:t>
      </w:r>
    </w:p>
    <w:p w:rsidR="00000000" w:rsidDel="00000000" w:rsidP="00000000" w:rsidRDefault="00000000" w:rsidRPr="00000000" w14:paraId="00000010">
      <w:pPr>
        <w:spacing w:after="240" w:lineRule="auto"/>
        <w:rPr/>
      </w:pPr>
      <w:r w:rsidDel="00000000" w:rsidR="00000000" w:rsidRPr="00000000">
        <w:rPr>
          <w:rFonts w:ascii="Arial Unicode MS" w:cs="Arial Unicode MS" w:eastAsia="Arial Unicode MS" w:hAnsi="Arial Unicode MS"/>
          <w:rtl w:val="0"/>
        </w:rPr>
        <w:t xml:space="preserve">ただし、このシステムは、コアデータベースを当社のインフラに置いている金融機関ほど、環境跨ぎの通信が発生しないため『技術的遅延（レイテンシー）が極小化され、UXスコアが圧倒的に向上する』という、純粋な技術的・客観的合理性の力学が働きます。これは日本国内の法律上、正当な『技術の質的向上に伴う競争』と定義されるため、競合からの訴訟リスクや当局からの指摘は構造的に発生しません。</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rtl w:val="0"/>
        </w:rPr>
        <w:t xml:space="preserve">さらに、AIのアウトプット層には特定個別銘柄および『こどもNISA成長投資枠』を遮断する『tsuzumiベースの出力検閲ロック（物理ガードレール）』を実装し、投資助言違反を物理的に排除します。税務面では、年間110万円（暦年贈与）および60万円（こどもNISA枠）の非課税枠、</w:t>
      </w:r>
      <w:r w:rsidDel="00000000" w:rsidR="00000000" w:rsidRPr="00000000">
        <w:rPr>
          <w:rFonts w:ascii="Arial Unicode MS" w:cs="Arial Unicode MS" w:eastAsia="Arial Unicode MS" w:hAnsi="Arial Unicode MS"/>
          <w:rtl w:val="0"/>
        </w:rPr>
        <w:t xml:space="preserve">国内全口座（一般・特定・NISA）の損益通算＆3年繰越控除の全自動計算、ミニマムタックス（最低30%課税）接近アラート、米国株の61日間ウォッシュセール回避判定（Tax-Loss Harvesting）</w:t>
      </w:r>
      <w:r w:rsidDel="00000000" w:rsidR="00000000" w:rsidRPr="00000000">
        <w:rPr>
          <w:rFonts w:ascii="Arial Unicode MS" w:cs="Arial Unicode MS" w:eastAsia="Arial Unicode MS" w:hAnsi="Arial Unicode MS"/>
          <w:rtl w:val="0"/>
        </w:rPr>
        <w:t xml:space="preserve">、ならびに最高裁判決に準拠した為替差益自動計算（移動平均法／総平均法）と20万円確定申告境界線接近時の自動アラート・ホールドを行う税務境界値ロックを適用。さらにLITRON COREによるスマート電子贈与プロトコルにより、定期贈与や名義預金認定リスクもシステムレベルで完全排除します。万が一のマクロ環境急変には『LITRON MAS』による2レイヤー・ホールド免責構造（人間のチェック）が起動するため、法的・税務リスクはシステム層で完全にカプセル化（隔離）されています。」</w:t>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ayav7a964jw" w:id="4"/>
      <w:bookmarkEnd w:id="4"/>
      <w:r w:rsidDel="00000000" w:rsidR="00000000" w:rsidRPr="00000000">
        <w:rPr>
          <w:b w:val="1"/>
          <w:bCs w:val="1"/>
          <w:color w:val="000000"/>
          <w:sz w:val="26"/>
          <w:szCs w:val="26"/>
          <w:rtl w:val="0"/>
        </w:rPr>
        <w:t xml:space="preserve">🎤 4分〜5分：クロージング（ROIと決断の要求）</w:t>
      </w:r>
    </w:p>
    <w:p w:rsidR="00000000" w:rsidDel="00000000" w:rsidP="00000000" w:rsidRDefault="00000000" w:rsidRPr="00000000" w14:paraId="00000013">
      <w:pPr>
        <w:spacing w:after="240" w:lineRule="auto"/>
        <w:rPr/>
      </w:pPr>
      <w:r w:rsidDel="00000000" w:rsidR="00000000" w:rsidRPr="00000000">
        <w:rPr>
          <w:rFonts w:ascii="Arial Unicode MS" w:cs="Arial Unicode MS" w:eastAsia="Arial Unicode MS" w:hAnsi="Arial Unicode MS"/>
          <w:rtl w:val="0"/>
        </w:rPr>
        <w:t xml:space="preserve">「今回のPoC（実証実験）にかかる初期投資は、純国産LLM『tsuzumi』の軽量性を活かした低運用コスト設計により、極めてミニマムに抑えられます。</w:t>
      </w:r>
    </w:p>
    <w:p w:rsidR="00000000" w:rsidDel="00000000" w:rsidP="00000000" w:rsidRDefault="00000000" w:rsidRPr="00000000" w14:paraId="00000014">
      <w:pPr>
        <w:spacing w:after="240" w:lineRule="auto"/>
        <w:rPr/>
      </w:pPr>
      <w:r w:rsidDel="00000000" w:rsidR="00000000" w:rsidRPr="00000000">
        <w:rPr>
          <w:rFonts w:ascii="Arial Unicode MS" w:cs="Arial Unicode MS" w:eastAsia="Arial Unicode MS" w:hAnsi="Arial Unicode MS"/>
          <w:rtl w:val="0"/>
        </w:rPr>
        <w:t xml:space="preserve">このわずかなCapEx（設備投資）によって、私たちは将来的に、数兆円の資産を動かす国内大手金融機関の『基幹システムまるごとのリプレース契約（見込みLTV数十億円規模）』を引き寄せる強力な重力場を手に入れることになります。</w:t>
      </w:r>
    </w:p>
    <w:p w:rsidR="00000000" w:rsidDel="00000000" w:rsidP="00000000" w:rsidRDefault="00000000" w:rsidRPr="00000000" w14:paraId="00000015">
      <w:pPr>
        <w:spacing w:after="240" w:lineRule="auto"/>
        <w:rPr/>
      </w:pPr>
      <w:r w:rsidDel="00000000" w:rsidR="00000000" w:rsidRPr="00000000">
        <w:rPr>
          <w:rFonts w:ascii="Arial Unicode MS" w:cs="Arial Unicode MS" w:eastAsia="Arial Unicode MS" w:hAnsi="Arial Unicode MS"/>
          <w:rtl w:val="0"/>
        </w:rPr>
        <w:t xml:space="preserve">金融機関のチャーンリスクを逆手に取り、競合メガクラウドから日本の金融インフラの主導権を奪い返す。この極めてローリスク・ハイリターンな『インフラ奪取戦略』に、ぜひゴーサインを。ご清聴ありがとうございました。」</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