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rPr>
      </w:pPr>
      <w:bookmarkStart w:colFirst="0" w:colLast="0" w:name="_gn4ccby4a4oh" w:id="0"/>
      <w:bookmarkEnd w:id="0"/>
      <w:r w:rsidDel="00000000" w:rsidR="00000000" w:rsidRPr="00000000">
        <w:rPr>
          <w:b w:val="1"/>
          <w:bCs w:val="1"/>
          <w:rtl w:val="0"/>
        </w:rPr>
        <w:t xml:space="preserve">19_ 📜 コンプライアンス遵守の誓約書テンプレート（NTTインフラ包括・ガバナンス仕様）【v6改訂版】</w:t>
      </w:r>
    </w:p>
    <w:p w:rsidR="00000000" w:rsidDel="00000000" w:rsidP="00000000" w:rsidRDefault="00000000" w:rsidRPr="00000000" w14:paraId="00000002">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【社内秘 / 営業担当者用】</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rtl w:val="0"/>
        </w:rPr>
        <w:t xml:space="preserve">本テンプレートは、営業部門（Sales/BizDev）が金融機関に『Tsuzumi Wealth Bridge（TWB）』を戦略的低価格または無償提供する際、国内の独占禁止法（不公正な取引方法・抱き合わせ販売等の禁止）に抵触することを完全に防ぎ、営業活動の前に法務・コンプライアンス部門へ提出、または営業現場で厳守させるための誓約・ガイドラインである。</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qqdo4gniazp" w:id="1"/>
      <w:bookmarkEnd w:id="1"/>
      <w:r w:rsidDel="00000000" w:rsidR="00000000" w:rsidRPr="00000000">
        <w:rPr>
          <w:rFonts w:ascii="Arial Unicode MS" w:cs="Arial Unicode MS" w:eastAsia="Arial Unicode MS" w:hAnsi="Arial Unicode MS"/>
          <w:b w:val="1"/>
          <w:bCs w:val="1"/>
          <w:color w:val="000000"/>
          <w:sz w:val="26"/>
          <w:szCs w:val="26"/>
          <w:rtl w:val="0"/>
        </w:rPr>
        <w:t xml:space="preserve">次世代インフラ包括契約プロジェクト『TWB』営業活動におけるコンプライアンス遵守誓約書</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55cbop9yp75j" w:id="2"/>
      <w:bookmarkEnd w:id="2"/>
      <w:r w:rsidDel="00000000" w:rsidR="00000000" w:rsidRPr="00000000">
        <w:rPr>
          <w:rFonts w:ascii="Arial Unicode MS" w:cs="Arial Unicode MS" w:eastAsia="Arial Unicode MS" w:hAnsi="Arial Unicode MS"/>
          <w:b w:val="1"/>
          <w:bCs w:val="1"/>
          <w:color w:val="000000"/>
          <w:sz w:val="22"/>
          <w:szCs w:val="22"/>
          <w:rtl w:val="0"/>
        </w:rPr>
        <w:t xml:space="preserve">【趣旨】</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本プロジェクトは、安全・安心なデータガバナンスを備えた無料パッケージ（TWB）をソリューション・フロントドア（撒き餌）として金融機関の経営陣に提示し、蓄積されるデータ資産の「データの重力（Data Gravity）」をレバレッジとして、最終的にNTTグループのセキュアソリューションや次世代情報通信基盤（IOWN等）への一元統合（包括リプレース・アップセル）を促す戦略を採用している。 この際、営業担当者が功を焦って口頭または書面で「他社クラウドの解約」や「インフラ移行」を強制するような排他条件を提示した場合、独占禁止法違反による巨額の罰徴金、および金融庁からの実証実験（PoC）承認取り消しという致命的な処分を招くリスクがある。よって、以下の3カ条を厳守することを誓約する。</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5vwm9b73j1wj" w:id="3"/>
      <w:bookmarkEnd w:id="3"/>
      <w:r w:rsidDel="00000000" w:rsidR="00000000" w:rsidRPr="00000000">
        <w:rPr>
          <w:rFonts w:ascii="Arial Unicode MS" w:cs="Arial Unicode MS" w:eastAsia="Arial Unicode MS" w:hAnsi="Arial Unicode MS"/>
          <w:b w:val="1"/>
          <w:bCs w:val="1"/>
          <w:color w:val="000000"/>
          <w:sz w:val="22"/>
          <w:szCs w:val="22"/>
          <w:rtl w:val="0"/>
        </w:rPr>
        <w:t xml:space="preserve">第1条（抱き合わせ販売・排他条件付取引の絶対禁止）</w:t>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rtl w:val="0"/>
        </w:rPr>
        <w:t xml:space="preserve">ターゲット金融機関（以下、顧客）に対し、TWBを戦略的低価格または無償提供する条件として、「現在契約している他社メガクラウド（AWS/GCP/Azure等）の解約」や「NTTインフラへの包括移行」を明文化された契約条件、または口頭での「必須要件」として提示してはならない。</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【推奨表現（言い換え）】</w:t>
      </w:r>
      <w:r w:rsidDel="00000000" w:rsidR="00000000" w:rsidRPr="00000000">
        <w:rPr>
          <w:rFonts w:ascii="Arial Unicode MS" w:cs="Arial Unicode MS" w:eastAsia="Arial Unicode MS" w:hAnsi="Arial Unicode MS"/>
          <w:rtl w:val="0"/>
        </w:rPr>
        <w:t xml:space="preserve">:</w:t>
        <w:br w:type="textWrapping"/>
        <w:t xml:space="preserve">「本AIツールの性能（リアルタイムのライフログ解析や超低遅延処理）を100%発揮するための、技術的な推奨インフラが当社のセキュアデータ基盤および次世代情報通信基盤（IOWN等）となっております。環境を跨いだ運用に伴うデータ転送コスト（Egress料金）やマルチクラウド間の通信遅延を排除し、TCO（総所有コスト）を最適化するための包括インフラ構成案も、別途シミュレーション可能です」</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Arial Unicode MS" w:cs="Arial Unicode MS" w:eastAsia="Arial Unicode MS" w:hAnsi="Arial Unicode MS"/>
          <w:b w:val="1"/>
          <w:bCs w:val="1"/>
          <w:rtl w:val="0"/>
        </w:rPr>
        <w:t xml:space="preserve">【禁止される表現】</w:t>
      </w:r>
      <w:r w:rsidDel="00000000" w:rsidR="00000000" w:rsidRPr="00000000">
        <w:rPr>
          <w:rFonts w:ascii="Arial Unicode MS" w:cs="Arial Unicode MS" w:eastAsia="Arial Unicode MS" w:hAnsi="Arial Unicode MS"/>
          <w:rtl w:val="0"/>
        </w:rPr>
        <w:t xml:space="preserve">:</w:t>
        <w:br w:type="textWrapping"/>
        <w:t xml:space="preserve">「NTTの次世代インフラ（IOWN等）への包括移行に関する覚書（MOU）を結んでいただけないと、このAIソリューションは提供できません」</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axmmpvqsy12j" w:id="4"/>
      <w:bookmarkEnd w:id="4"/>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rPr>
          <w:b w:val="1"/>
          <w:bCs w:val="1"/>
          <w:color w:val="000000"/>
          <w:sz w:val="22"/>
          <w:szCs w:val="22"/>
        </w:rPr>
      </w:pPr>
      <w:bookmarkStart w:colFirst="0" w:colLast="0" w:name="_hdty3rfrsg3" w:id="5"/>
      <w:bookmarkEnd w:id="5"/>
      <w:r w:rsidDel="00000000" w:rsidR="00000000" w:rsidRPr="00000000">
        <w:rPr>
          <w:rFonts w:ascii="Arial Unicode MS" w:cs="Arial Unicode MS" w:eastAsia="Arial Unicode MS" w:hAnsi="Arial Unicode MS"/>
          <w:b w:val="1"/>
          <w:bCs w:val="1"/>
          <w:color w:val="000000"/>
          <w:sz w:val="22"/>
          <w:szCs w:val="22"/>
          <w:rtl w:val="0"/>
        </w:rPr>
        <w:t xml:space="preserve">第2条（中立性プロトコルの仕様厳守と技術的合理性の徹底）</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本システムは金融庁への提出計画に基づき、競争政策上の中立性を100%担保するため、認可業者リストから客観的に複数選択肢を提示する『オープン・プロバイダー・プロトコル』を実装している。よって、特定の1社だけを常時固定表示するような個別のシステム改修や、裏での恣意的なアルゴリズム操作の約束に絶対に応じはならない。 営業活動においては、コアデータベースをNTTのセキュア基盤上にホストしている金融機関ほど、物理的な通信遅延が極小化され、純国産LLM「tsuzumi」や「LITRON」の解析パフォーマンスを最大化できるという「技術的・客観的メリット（UXスコアの差）」を事実として説明すること。不当な優遇措置や不正操作を疑われるような表現は一切行ってはならない。</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6uasftk5a9nq" w:id="6"/>
      <w:bookmarkEnd w:id="6"/>
      <w:r w:rsidDel="00000000" w:rsidR="00000000" w:rsidRPr="00000000">
        <w:rPr>
          <w:rFonts w:ascii="Arial Unicode MS" w:cs="Arial Unicode MS" w:eastAsia="Arial Unicode MS" w:hAnsi="Arial Unicode MS"/>
          <w:b w:val="1"/>
          <w:bCs w:val="1"/>
          <w:color w:val="000000"/>
          <w:sz w:val="22"/>
          <w:szCs w:val="22"/>
          <w:rtl w:val="0"/>
        </w:rPr>
        <w:t xml:space="preserve">第3条（データの重力による経済的・技術的説得の徹底）</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他社クラウド環境からの包括インフラリプレース（クロージング）は、法的な強制力や契約上の縛りではなく、アプリ内に蓄積された膨大なライフログデータ、最高裁判例準拠の為替計算・贈与税枠データ、および</w:t>
      </w:r>
      <w:r w:rsidDel="00000000" w:rsidR="00000000" w:rsidRPr="00000000">
        <w:rPr>
          <w:rFonts w:ascii="Arial Unicode MS" w:cs="Arial Unicode MS" w:eastAsia="Arial Unicode MS" w:hAnsi="Arial Unicode MS"/>
          <w:rtl w:val="0"/>
        </w:rPr>
        <w:t xml:space="preserve">国内全口座（一般・特定・NISA）の損益通算/3年繰越控除・ミニマムタックス試算・米国株ウォッシュセール追跡データ</w:t>
      </w:r>
      <w:r w:rsidDel="00000000" w:rsidR="00000000" w:rsidRPr="00000000">
        <w:rPr>
          <w:rFonts w:ascii="Arial Unicode MS" w:cs="Arial Unicode MS" w:eastAsia="Arial Unicode MS" w:hAnsi="Arial Unicode MS"/>
          <w:rtl w:val="0"/>
        </w:rPr>
        <w:t xml:space="preserve">が引き起こす「環境跨ぎのデータ転送量課金（Egress料金）の肥大化」および「通信遅延によるリアルタイム処理能力の低下」という、経営上の明確なボトルネック（データの重力）をインサイトとして突く営業スタイルを徹底すること。 また、tsuzumiの軽量性による低消費電力化・低TCO運用といった、NTTグループならではのグリーンICT・技術的経済合理性を武器に、顧客が自発的に一元統合を選択するよう誘導すること。</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上記を違反した場合、プロジェクトの中止および社内規定に基づく厳重な処分を受けることに同意します。</w:t>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所属部門：</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氏名（自署）：</w:t>
      </w:r>
    </w:p>
    <w:p w:rsidR="00000000" w:rsidDel="00000000" w:rsidP="00000000" w:rsidRDefault="00000000" w:rsidRPr="00000000" w14:paraId="00000013">
      <w:pPr>
        <w:spacing w:after="240" w:before="240" w:lineRule="auto"/>
        <w:rPr/>
      </w:pPr>
      <w:r w:rsidDel="00000000" w:rsidR="00000000" w:rsidRPr="00000000">
        <w:rPr>
          <w:rFonts w:ascii="Arial Unicode MS" w:cs="Arial Unicode MS" w:eastAsia="Arial Unicode MS" w:hAnsi="Arial Unicode MS"/>
          <w:rtl w:val="0"/>
        </w:rPr>
        <w:t xml:space="preserve">日付： 2026年 ＿＿ 月 ＿＿ 日</w:t>
      </w:r>
    </w:p>
    <w:p w:rsidR="00000000" w:rsidDel="00000000" w:rsidP="00000000" w:rsidRDefault="00000000" w:rsidRPr="00000000" w14:paraId="0000001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