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jgj5d1kp7ztw" w:id="0"/>
      <w:bookmarkEnd w:id="0"/>
      <w:r w:rsidDel="00000000" w:rsidR="00000000" w:rsidRPr="00000000">
        <w:rPr>
          <w:b w:val="1"/>
          <w:bCs w:val="1"/>
          <w:rtl w:val="0"/>
        </w:rPr>
        <w:t xml:space="preserve">20_ 📊 CFO説得用サマリー文章（NTT王者の防衛・未来投資仕様）【v6改訂版】</w:t>
      </w:r>
    </w:p>
    <w:p w:rsidR="00000000" w:rsidDel="00000000" w:rsidP="00000000" w:rsidRDefault="00000000" w:rsidRPr="00000000" w14:paraId="000000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【経営決裁・財務リスク管理委員会提出用】</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プロジェクト名称</w:t>
      </w:r>
      <w:r w:rsidDel="00000000" w:rsidR="00000000" w:rsidRPr="00000000">
        <w:rPr>
          <w:rFonts w:ascii="Arial Unicode MS" w:cs="Arial Unicode MS" w:eastAsia="Arial Unicode MS" w:hAnsi="Arial Unicode MS"/>
          <w:rtl w:val="0"/>
        </w:rPr>
        <w:t xml:space="preserve">: 次世代親子資産継承型AIプラットフォーム『TWB』投資回収サマリー</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起案部門</w:t>
      </w:r>
      <w:r w:rsidDel="00000000" w:rsidR="00000000" w:rsidRPr="00000000">
        <w:rPr>
          <w:rFonts w:ascii="Arial Unicode MS" w:cs="Arial Unicode MS" w:eastAsia="Arial Unicode MS" w:hAnsi="Arial Unicode MS"/>
          <w:rtl w:val="0"/>
        </w:rPr>
        <w:t xml:space="preserve">: ビジネス開発部（BizDev） / システムアーキテクチャ部門 / 財務企画部</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q7pqnywna4z"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投資の結論：単体PLの最適化による、既存インフラ覇権の「完全防衛」と「次世代インフラ（IOWN等）へのアップセル」</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本プロジェクト『TWB（Tsuzumi Wealth Bridge）』は、アプリケーション単体での短期的なライセンス販売利益を追求しません。国内の第一線（Tier-1）金融機関に対し、「初期ライセンス戦略的低価格（または無償提供）」をフックとして戦略的にアプローチします。 初期開発費5,000万円および年間運用費1,000万円というミニマムな投資額（CapEx/OpEx）は、他社メガクラウド（AWS/GCP/Azure等）による国内金融顧客データの侵食（逆・データの重力）を完璧に防ぎ、すでにNTTグループが保持している巨大な金融基幹ストック収益（年間数十億円規模）を死守しつつ、次世代情報通信基盤（IOWN等）への大規模包括リプレース・アップセル契約へ自発的にエスカレートさせることで、極めて短期間かつ確実に回収される「超低リスク・高レバレッジ投資」です。</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ndn3c6oerdb"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戦略的低価格（フリーミアム）に踏み切る財務的・安定的ロジック</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国内金融インフラ市場において圧倒的なシェアを持つ当社が、あえてフロントドアを戦略的低価格で配る理由は、「防衛」と「経済的ロックインの深化」にあります。 現在、多くの金融機関がフロントアプリや生成AI活用領域において他社メガクラウドの導入を進めています。この領域から日々のライフログや資産形成シミュレーション、</w:t>
      </w:r>
      <w:r w:rsidDel="00000000" w:rsidR="00000000" w:rsidRPr="00000000">
        <w:rPr>
          <w:rFonts w:ascii="Arial Unicode MS" w:cs="Arial Unicode MS" w:eastAsia="Arial Unicode MS" w:hAnsi="Arial Unicode MS"/>
          <w:rtl w:val="0"/>
        </w:rPr>
        <w:t xml:space="preserve">国内一般・特定・NISA口座間の損益通算・繰越控除ログ、富裕層向けミニマムタックス接近判定データ、米国株ウォッシュセール回避履歴、さらには外貨取引等に伴う複雑な為替・税務計算データ</w:t>
      </w:r>
      <w:r w:rsidDel="00000000" w:rsidR="00000000" w:rsidRPr="00000000">
        <w:rPr>
          <w:rFonts w:ascii="Arial Unicode MS" w:cs="Arial Unicode MS" w:eastAsia="Arial Unicode MS" w:hAnsi="Arial Unicode MS"/>
          <w:rtl w:val="0"/>
        </w:rPr>
        <w:t xml:space="preserve">といった「次世代の高価値コアデータ」まで競合環境へ流出した場合、将来的にバックエンドの基幹システムごと他社へリプレースされる致命的な長期的財務リスクが生じます。</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TWBの導入ハードルをゼロにすることで、これら次世代の行動・取引データをNTT側のセキュアデータレイクおよび「LITRON」データ基盤へと安全に、かつ非同期で確実に引き寄せます。データが蓄積されるほどに強力な『データの重力（Data Gravity）』が作用し、他社クラウド環境と連携させるための通信コスト（Egress料金）の肥大化やマルチクラウド間の遅延が顕在化します。結果として、金融機関側は「基幹データごとNTTのセキュアクラウドや次世代情報通信基盤（IOWN等）へ一元統合した方が、総所有コスト（TCO）を大幅に削減できる」という明確な経済的・技術的合理性に直面し、自発的に当社の次世代インフラへのアップセル契約を選択せざるを得ない構造（ロックイン）が成立します。</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4pldjnf3el6"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m6fpybih1wj" w:id="4"/>
      <w:bookmarkEnd w:id="4"/>
      <w:r w:rsidDel="00000000" w:rsidR="00000000" w:rsidRPr="00000000">
        <w:rPr>
          <w:rFonts w:ascii="Arial Unicode MS" w:cs="Arial Unicode MS" w:eastAsia="Arial Unicode MS" w:hAnsi="Arial Unicode MS"/>
          <w:b w:val="1"/>
          <w:bCs w:val="1"/>
          <w:color w:val="000000"/>
          <w:sz w:val="26"/>
          <w:szCs w:val="26"/>
          <w:rtl w:val="0"/>
        </w:rPr>
        <w:t xml:space="preserve">3. 財務リスクヘッジ（コンプライアンス及びハルシネーションのシステム隔離）</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金融ビジネスで最も懸念されるハルシネーション（AIの嘘）による法的損害賠償リスク、および税務エラーによる過失責任は、すべてシステムレイヤーにおいて物理的にカプセル化（隔離）されており、当社の財務リスクは実質的にゼロ化されています。</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投資助言規制（金商法）対策</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純国産LLM「tsuzumi」のアウトプット層に特定個別銘柄および「こどもNISA成長投資枠」の出力を遮断する「出力検閲フィルター（物理ガードレール）」を実装し、違法な助言行為の発生をシステムレベルで根絶。</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税務エラー・名義預金・損益通算・ウォッシュセール・為替差益リスク対策</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年間110万円（暦年贈与）および年間60万円（こどもNISA枠）の非課税枠、</w:t>
      </w:r>
      <w:r w:rsidDel="00000000" w:rsidR="00000000" w:rsidRPr="00000000">
        <w:rPr>
          <w:rFonts w:ascii="Arial Unicode MS" w:cs="Arial Unicode MS" w:eastAsia="Arial Unicode MS" w:hAnsi="Arial Unicode MS"/>
          <w:rtl w:val="0"/>
        </w:rPr>
        <w:t xml:space="preserve">全証券口座区分（一般・特定・NISA）の損益通算＆3年繰越控除算定、富裕層向けミニマムタックス接近判定、米国株61日間ウォッシュセール自動判定</w:t>
      </w:r>
      <w:r w:rsidDel="00000000" w:rsidR="00000000" w:rsidRPr="00000000">
        <w:rPr>
          <w:rFonts w:ascii="Arial Unicode MS" w:cs="Arial Unicode MS" w:eastAsia="Arial Unicode MS" w:hAnsi="Arial Unicode MS"/>
          <w:rtl w:val="0"/>
        </w:rPr>
        <w:t xml:space="preserve">、ならびに最高裁判例準拠の為替差益（給与所得者20万円）を厳格にハードコード。境界値手前でスマート通知、到達で自動ホールドする「税務境界値ロック」を適用。</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LITRON COREによる「スマート電子贈与プロトコル（電子署名・タイムスタンプ、ゆらぎ制御、目的別タグ付け）」により、定期贈与や名義預金と判定されるリスクをシステム主導で自動排除。</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マクロリスク免責</w:t>
      </w:r>
      <w:r w:rsidDel="00000000" w:rsidR="00000000" w:rsidRPr="00000000">
        <w:rPr>
          <w:rtl w:val="0"/>
        </w:rPr>
        <w:t xml:space="preserve">:</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万が一の激変時には「LITRON MAS（マルチエージェント）」が起動し、自動的に機能をホールド。金融機関側のコンプライアンス責任者による手動承認（人間のチェック）を経てから機能制御を行う安全な「2レイヤー・ホールド免責構造」を標準装備。</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全ての最終的な法的責任は、フロントに立つ金融機関の既存の免責レイヤーに完全に準拠・内包させるため、当社へ直接的な賠償請求が及ぶリスクはありません。</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6kg6f9uxf2m" w:id="5"/>
      <w:bookmarkEnd w:id="5"/>
      <w:r w:rsidDel="00000000" w:rsidR="00000000" w:rsidRPr="00000000">
        <w:rPr>
          <w:rFonts w:ascii="Arial Unicode MS" w:cs="Arial Unicode MS" w:eastAsia="Arial Unicode MS" w:hAnsi="Arial Unicode MS"/>
          <w:b w:val="1"/>
          <w:bCs w:val="1"/>
          <w:color w:val="000000"/>
          <w:sz w:val="26"/>
          <w:szCs w:val="26"/>
          <w:rtl w:val="0"/>
        </w:rPr>
        <w:t xml:space="preserve">4. 投資対効果（ROI）期待値と回収モデル</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初期投資（CapEx）</w:t>
      </w:r>
      <w:r w:rsidDel="00000000" w:rsidR="00000000" w:rsidRPr="00000000">
        <w:rPr>
          <w:rFonts w:ascii="Arial Unicode MS" w:cs="Arial Unicode MS" w:eastAsia="Arial Unicode MS" w:hAnsi="Arial Unicode MS"/>
          <w:rtl w:val="0"/>
        </w:rPr>
        <w:t xml:space="preserve">: 5,000万円（純国産LLM「tsuzumi」の軽量モデルおよびLITRON既存モジュールの流用、WebAssemblyエッジ処理の多用により最小化）</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年間運用費（OpEx）</w:t>
      </w:r>
      <w:r w:rsidDel="00000000" w:rsidR="00000000" w:rsidRPr="00000000">
        <w:rPr>
          <w:rFonts w:ascii="Arial Unicode MS" w:cs="Arial Unicode MS" w:eastAsia="Arial Unicode MS" w:hAnsi="Arial Unicode MS"/>
          <w:rtl w:val="0"/>
        </w:rPr>
        <w:t xml:space="preserve">: 1,000万円（ローカルガードレールおよびLITRON MASデータパイプラインの維持コスト）</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防衛およびアップセル対象インフラの市場価値（LTV）</w:t>
      </w:r>
      <w:r w:rsidDel="00000000" w:rsidR="00000000" w:rsidRPr="00000000">
        <w:rPr>
          <w:rFonts w:ascii="Arial Unicode MS" w:cs="Arial Unicode MS" w:eastAsia="Arial Unicode MS" w:hAnsi="Arial Unicode MS"/>
          <w:rtl w:val="0"/>
        </w:rPr>
        <w:t xml:space="preserve">: 1社あたり5年契約で約12億〜30億円規模の大規模包括インフラストラクチャ収入（IOWN等の次世代ネットワーク・超省電力AIサーバー環境への移行）</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損益分岐点（BEP）</w:t>
      </w:r>
      <w:r w:rsidDel="00000000" w:rsidR="00000000" w:rsidRPr="00000000">
        <w:rPr>
          <w:rtl w:val="0"/>
        </w:rPr>
        <w:t xml:space="preserve">:</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ターゲットとなる国内大手金融機関10社（すでに当社のシステムを利用している既存顧客を含む）のうち、「わずか1社」の他社クラウド流出を完全に防ぎ、次世代インフラへのアップセルに成功すれば、プロジェクト全体の全投資額は数ヶ月で完全に回収され、莫大な大黒字へと転換します。</w:t>
      </w:r>
    </w:p>
    <w:p w:rsidR="00000000" w:rsidDel="00000000" w:rsidP="00000000" w:rsidRDefault="00000000" w:rsidRPr="00000000" w14:paraId="0000001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